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321BE" w14:textId="77777777" w:rsidR="00255B21" w:rsidRDefault="00255B21" w:rsidP="00255B21">
      <w:pPr>
        <w:jc w:val="center"/>
        <w:rPr>
          <w:rFonts w:ascii="Arial" w:hAnsi="Arial" w:cs="Arial"/>
          <w:sz w:val="24"/>
          <w:u w:val="single"/>
        </w:rPr>
      </w:pPr>
      <w:bookmarkStart w:id="0" w:name="_GoBack"/>
      <w:bookmarkEnd w:id="0"/>
      <w:r w:rsidRPr="00255B21">
        <w:rPr>
          <w:rFonts w:ascii="Arial" w:hAnsi="Arial" w:cs="Arial"/>
          <w:b/>
          <w:bCs/>
          <w:sz w:val="24"/>
          <w:u w:val="single"/>
        </w:rPr>
        <w:t xml:space="preserve">Learning Aim C: </w:t>
      </w:r>
      <w:r>
        <w:rPr>
          <w:rFonts w:ascii="Arial" w:hAnsi="Arial" w:cs="Arial"/>
          <w:sz w:val="24"/>
        </w:rPr>
        <w:t xml:space="preserve"> </w:t>
      </w:r>
      <w:r w:rsidRPr="00255B21">
        <w:rPr>
          <w:rFonts w:ascii="Arial" w:hAnsi="Arial" w:cs="Arial"/>
          <w:sz w:val="24"/>
          <w:u w:val="single"/>
        </w:rPr>
        <w:t>Investigate the influence of health and safety legislation and policies in health and social care settings.</w:t>
      </w:r>
    </w:p>
    <w:p w14:paraId="2B3321BF" w14:textId="77777777" w:rsidR="00255B21" w:rsidRPr="00255B21" w:rsidRDefault="00255B21" w:rsidP="00255B21">
      <w:pPr>
        <w:rPr>
          <w:rFonts w:ascii="Arial" w:hAnsi="Arial" w:cs="Arial"/>
          <w:u w:val="single"/>
        </w:rPr>
      </w:pPr>
      <w:r>
        <w:rPr>
          <w:rFonts w:ascii="Arial" w:hAnsi="Arial" w:cs="Arial"/>
          <w:sz w:val="24"/>
          <w:u w:val="single"/>
        </w:rPr>
        <w:t xml:space="preserve">P6: </w:t>
      </w:r>
      <w:r w:rsidRPr="00255B21">
        <w:rPr>
          <w:rFonts w:ascii="Arial" w:hAnsi="Arial" w:cs="Arial"/>
          <w:u w:val="single"/>
        </w:rPr>
        <w:t>Compare the influence of different health and safety laws or polices on health and social care practice in a selected setting.</w:t>
      </w:r>
    </w:p>
    <w:tbl>
      <w:tblPr>
        <w:tblStyle w:val="TableGrid"/>
        <w:tblW w:w="10576" w:type="dxa"/>
        <w:tblLayout w:type="fixed"/>
        <w:tblLook w:val="04A0" w:firstRow="1" w:lastRow="0" w:firstColumn="1" w:lastColumn="0" w:noHBand="0" w:noVBand="1"/>
      </w:tblPr>
      <w:tblGrid>
        <w:gridCol w:w="2405"/>
        <w:gridCol w:w="8171"/>
      </w:tblGrid>
      <w:tr w:rsidR="00255B21" w14:paraId="2B3321C2" w14:textId="77777777" w:rsidTr="00255B21">
        <w:trPr>
          <w:trHeight w:val="788"/>
        </w:trPr>
        <w:tc>
          <w:tcPr>
            <w:tcW w:w="2405" w:type="dxa"/>
          </w:tcPr>
          <w:p w14:paraId="2B3321C0" w14:textId="77777777" w:rsidR="00255B21" w:rsidRPr="00255B21" w:rsidRDefault="00255B21" w:rsidP="00255B21">
            <w:pPr>
              <w:jc w:val="center"/>
              <w:rPr>
                <w:rFonts w:ascii="Arial" w:hAnsi="Arial" w:cs="Arial"/>
                <w:b/>
                <w:sz w:val="24"/>
              </w:rPr>
            </w:pPr>
            <w:r w:rsidRPr="00255B21">
              <w:rPr>
                <w:rFonts w:ascii="Arial" w:hAnsi="Arial" w:cs="Arial"/>
                <w:b/>
              </w:rPr>
              <w:t>Health and Safety legislation used in the UK</w:t>
            </w:r>
          </w:p>
        </w:tc>
        <w:tc>
          <w:tcPr>
            <w:tcW w:w="8171" w:type="dxa"/>
            <w:vAlign w:val="center"/>
          </w:tcPr>
          <w:p w14:paraId="2B3321C1" w14:textId="77777777" w:rsidR="00255B21" w:rsidRPr="00255B21" w:rsidRDefault="00255B21" w:rsidP="00255B21">
            <w:pPr>
              <w:jc w:val="center"/>
              <w:rPr>
                <w:rFonts w:ascii="Arial" w:hAnsi="Arial" w:cs="Arial"/>
                <w:b/>
                <w:sz w:val="24"/>
              </w:rPr>
            </w:pPr>
            <w:r w:rsidRPr="00255B21">
              <w:rPr>
                <w:rFonts w:ascii="Arial" w:hAnsi="Arial" w:cs="Arial"/>
                <w:b/>
                <w:sz w:val="24"/>
              </w:rPr>
              <w:t>Explanation of the legislation/policy</w:t>
            </w:r>
          </w:p>
        </w:tc>
      </w:tr>
      <w:tr w:rsidR="00255B21" w14:paraId="2B3321C6" w14:textId="77777777" w:rsidTr="00255B21">
        <w:trPr>
          <w:trHeight w:val="788"/>
        </w:trPr>
        <w:tc>
          <w:tcPr>
            <w:tcW w:w="2405" w:type="dxa"/>
            <w:vAlign w:val="center"/>
          </w:tcPr>
          <w:p w14:paraId="2B3321C3" w14:textId="77777777" w:rsidR="00255B21" w:rsidRDefault="00255B21" w:rsidP="00255B21">
            <w:pPr>
              <w:rPr>
                <w:rFonts w:ascii="Arial" w:hAnsi="Arial" w:cs="Arial"/>
                <w:b/>
              </w:rPr>
            </w:pPr>
            <w:r w:rsidRPr="00255B21">
              <w:rPr>
                <w:rFonts w:ascii="Arial" w:hAnsi="Arial" w:cs="Arial"/>
                <w:b/>
              </w:rPr>
              <w:t>Health and Safety at Work Act (1974)</w:t>
            </w:r>
          </w:p>
          <w:p w14:paraId="2B3321C4" w14:textId="77777777" w:rsidR="00255B21" w:rsidRPr="00255B21" w:rsidRDefault="00A96C29" w:rsidP="00255B21">
            <w:pPr>
              <w:rPr>
                <w:rFonts w:ascii="Arial" w:hAnsi="Arial" w:cs="Arial"/>
                <w:b/>
                <w:sz w:val="16"/>
              </w:rPr>
            </w:pPr>
            <w:hyperlink r:id="rId8" w:anchor="health" w:history="1">
              <w:r w:rsidR="00255B21" w:rsidRPr="00255B21">
                <w:rPr>
                  <w:rStyle w:val="Hyperlink"/>
                  <w:rFonts w:ascii="Arial" w:hAnsi="Arial" w:cs="Arial"/>
                  <w:b/>
                  <w:sz w:val="16"/>
                </w:rPr>
                <w:t>http://www.healthyworkinglives.com/advice/Legislation-and-policy/Workplace-Health-and-Safety/health-safety-legislation#health</w:t>
              </w:r>
            </w:hyperlink>
          </w:p>
        </w:tc>
        <w:tc>
          <w:tcPr>
            <w:tcW w:w="8171" w:type="dxa"/>
            <w:vAlign w:val="center"/>
          </w:tcPr>
          <w:p w14:paraId="2B3321C5" w14:textId="77777777" w:rsidR="00255B21" w:rsidRPr="00255B21" w:rsidRDefault="00255B21" w:rsidP="00255B21">
            <w:pPr>
              <w:rPr>
                <w:rFonts w:ascii="Arial" w:hAnsi="Arial" w:cs="Arial"/>
              </w:rPr>
            </w:pPr>
          </w:p>
        </w:tc>
      </w:tr>
      <w:tr w:rsidR="00255B21" w14:paraId="2B3321CA" w14:textId="77777777" w:rsidTr="00255B21">
        <w:trPr>
          <w:trHeight w:val="788"/>
        </w:trPr>
        <w:tc>
          <w:tcPr>
            <w:tcW w:w="2405" w:type="dxa"/>
            <w:vAlign w:val="center"/>
          </w:tcPr>
          <w:p w14:paraId="2B3321C7" w14:textId="77777777" w:rsidR="00255B21" w:rsidRDefault="00255B21" w:rsidP="00255B21">
            <w:pPr>
              <w:rPr>
                <w:rFonts w:ascii="Arial" w:hAnsi="Arial" w:cs="Arial"/>
                <w:b/>
              </w:rPr>
            </w:pPr>
            <w:r w:rsidRPr="00255B21">
              <w:rPr>
                <w:rFonts w:ascii="Arial" w:hAnsi="Arial" w:cs="Arial"/>
                <w:b/>
              </w:rPr>
              <w:t>Data Protection Act (1998)</w:t>
            </w:r>
          </w:p>
          <w:p w14:paraId="2B3321C8" w14:textId="77777777" w:rsidR="00255B21" w:rsidRPr="00255B21" w:rsidRDefault="00A96C29" w:rsidP="00255B21">
            <w:pPr>
              <w:rPr>
                <w:rFonts w:ascii="Arial" w:hAnsi="Arial" w:cs="Arial"/>
                <w:b/>
              </w:rPr>
            </w:pPr>
            <w:hyperlink r:id="rId9" w:history="1">
              <w:r w:rsidR="00255B21" w:rsidRPr="00255B21">
                <w:rPr>
                  <w:rStyle w:val="Hyperlink"/>
                  <w:rFonts w:ascii="Arial" w:hAnsi="Arial" w:cs="Arial"/>
                  <w:b/>
                  <w:sz w:val="16"/>
                </w:rPr>
                <w:t>https://www.gov.uk/data-protection/the-data-protection-act</w:t>
              </w:r>
            </w:hyperlink>
          </w:p>
        </w:tc>
        <w:tc>
          <w:tcPr>
            <w:tcW w:w="8171" w:type="dxa"/>
            <w:vAlign w:val="center"/>
          </w:tcPr>
          <w:p w14:paraId="2B3321C9" w14:textId="77777777" w:rsidR="00255B21" w:rsidRPr="00255B21" w:rsidRDefault="00255B21" w:rsidP="00255B21">
            <w:pPr>
              <w:rPr>
                <w:rFonts w:ascii="Arial" w:hAnsi="Arial" w:cs="Arial"/>
              </w:rPr>
            </w:pPr>
          </w:p>
        </w:tc>
      </w:tr>
      <w:tr w:rsidR="00255B21" w14:paraId="2B3321CE" w14:textId="77777777" w:rsidTr="00255B21">
        <w:trPr>
          <w:trHeight w:val="788"/>
        </w:trPr>
        <w:tc>
          <w:tcPr>
            <w:tcW w:w="2405" w:type="dxa"/>
            <w:vAlign w:val="center"/>
          </w:tcPr>
          <w:p w14:paraId="2B3321CB" w14:textId="77777777" w:rsidR="00255B21" w:rsidRDefault="00255B21" w:rsidP="00255B21">
            <w:pPr>
              <w:rPr>
                <w:rFonts w:ascii="Arial" w:hAnsi="Arial" w:cs="Arial"/>
                <w:b/>
              </w:rPr>
            </w:pPr>
            <w:r w:rsidRPr="00255B21">
              <w:rPr>
                <w:rFonts w:ascii="Arial" w:hAnsi="Arial" w:cs="Arial"/>
                <w:b/>
              </w:rPr>
              <w:t>Care Standards Act (2000)</w:t>
            </w:r>
          </w:p>
          <w:p w14:paraId="2B3321CC" w14:textId="77777777" w:rsidR="00041996" w:rsidRPr="00255B21" w:rsidRDefault="00A96C29" w:rsidP="00041996">
            <w:pPr>
              <w:rPr>
                <w:rFonts w:ascii="Arial" w:hAnsi="Arial" w:cs="Arial"/>
                <w:b/>
              </w:rPr>
            </w:pPr>
            <w:hyperlink r:id="rId10" w:history="1">
              <w:r w:rsidR="00041996" w:rsidRPr="00041996">
                <w:rPr>
                  <w:rStyle w:val="Hyperlink"/>
                  <w:rFonts w:ascii="Arial" w:hAnsi="Arial" w:cs="Arial"/>
                  <w:b/>
                  <w:sz w:val="16"/>
                </w:rPr>
                <w:t>https://www.health-ni.gov.uk/articles/care-standards</w:t>
              </w:r>
            </w:hyperlink>
          </w:p>
        </w:tc>
        <w:tc>
          <w:tcPr>
            <w:tcW w:w="8171" w:type="dxa"/>
            <w:vAlign w:val="center"/>
          </w:tcPr>
          <w:p w14:paraId="2B3321CD" w14:textId="77777777" w:rsidR="00255B21" w:rsidRPr="00255B21" w:rsidRDefault="00255B21" w:rsidP="00255B21">
            <w:pPr>
              <w:rPr>
                <w:rFonts w:ascii="Arial" w:hAnsi="Arial" w:cs="Arial"/>
              </w:rPr>
            </w:pPr>
          </w:p>
        </w:tc>
      </w:tr>
      <w:tr w:rsidR="00255B21" w14:paraId="2B3321D2" w14:textId="77777777" w:rsidTr="00255B21">
        <w:trPr>
          <w:trHeight w:val="788"/>
        </w:trPr>
        <w:tc>
          <w:tcPr>
            <w:tcW w:w="2405" w:type="dxa"/>
            <w:vAlign w:val="center"/>
          </w:tcPr>
          <w:p w14:paraId="2B3321CF" w14:textId="77777777" w:rsidR="00255B21" w:rsidRDefault="00255B21" w:rsidP="00255B21">
            <w:pPr>
              <w:rPr>
                <w:rFonts w:ascii="Arial" w:hAnsi="Arial" w:cs="Arial"/>
                <w:b/>
              </w:rPr>
            </w:pPr>
            <w:r w:rsidRPr="00255B21">
              <w:rPr>
                <w:rFonts w:ascii="Arial" w:hAnsi="Arial" w:cs="Arial"/>
                <w:b/>
              </w:rPr>
              <w:t>Equality Act (2010)</w:t>
            </w:r>
          </w:p>
          <w:p w14:paraId="2B3321D0" w14:textId="77777777" w:rsidR="0052024F" w:rsidRPr="00255B21" w:rsidRDefault="00A96C29" w:rsidP="0052024F">
            <w:pPr>
              <w:rPr>
                <w:rFonts w:ascii="Arial" w:hAnsi="Arial" w:cs="Arial"/>
                <w:b/>
              </w:rPr>
            </w:pPr>
            <w:hyperlink r:id="rId11" w:history="1">
              <w:r w:rsidR="0052024F" w:rsidRPr="0052024F">
                <w:rPr>
                  <w:rStyle w:val="Hyperlink"/>
                  <w:rFonts w:ascii="Arial" w:hAnsi="Arial" w:cs="Arial"/>
                  <w:b/>
                  <w:sz w:val="18"/>
                </w:rPr>
                <w:t>https://www.equalityhumanrights.com/en/equality-act-2010/what-equality-act</w:t>
              </w:r>
            </w:hyperlink>
          </w:p>
        </w:tc>
        <w:tc>
          <w:tcPr>
            <w:tcW w:w="8171" w:type="dxa"/>
            <w:vAlign w:val="center"/>
          </w:tcPr>
          <w:p w14:paraId="2B3321D1" w14:textId="77777777" w:rsidR="00255B21" w:rsidRPr="00255B21" w:rsidRDefault="00255B21" w:rsidP="00255B21">
            <w:pPr>
              <w:rPr>
                <w:rFonts w:ascii="Arial" w:hAnsi="Arial" w:cs="Arial"/>
              </w:rPr>
            </w:pPr>
          </w:p>
        </w:tc>
      </w:tr>
      <w:tr w:rsidR="00255B21" w14:paraId="2B3321D6" w14:textId="77777777" w:rsidTr="00255B21">
        <w:trPr>
          <w:trHeight w:val="788"/>
        </w:trPr>
        <w:tc>
          <w:tcPr>
            <w:tcW w:w="2405" w:type="dxa"/>
            <w:vAlign w:val="center"/>
          </w:tcPr>
          <w:p w14:paraId="2B3321D3" w14:textId="77777777" w:rsidR="00255B21" w:rsidRDefault="00255B21" w:rsidP="00255B21">
            <w:pPr>
              <w:rPr>
                <w:rFonts w:ascii="Arial" w:hAnsi="Arial" w:cs="Arial"/>
                <w:b/>
              </w:rPr>
            </w:pPr>
            <w:r w:rsidRPr="00255B21">
              <w:rPr>
                <w:rFonts w:ascii="Arial" w:hAnsi="Arial" w:cs="Arial"/>
                <w:b/>
              </w:rPr>
              <w:t>Care Act (2014)</w:t>
            </w:r>
          </w:p>
          <w:p w14:paraId="2B3321D4" w14:textId="77777777" w:rsidR="00041996" w:rsidRPr="00255B21" w:rsidRDefault="00A96C29" w:rsidP="00041996">
            <w:pPr>
              <w:rPr>
                <w:rFonts w:ascii="Arial" w:hAnsi="Arial" w:cs="Arial"/>
                <w:b/>
              </w:rPr>
            </w:pPr>
            <w:hyperlink r:id="rId12" w:history="1">
              <w:r w:rsidR="00041996" w:rsidRPr="00041996">
                <w:rPr>
                  <w:rStyle w:val="Hyperlink"/>
                  <w:rFonts w:ascii="Arial" w:hAnsi="Arial" w:cs="Arial"/>
                  <w:b/>
                  <w:sz w:val="16"/>
                </w:rPr>
                <w:t>http://www.nhs.uk/Conditions/social-care-and-support-guide/Pages/carers-rights-care-act-2014.aspx</w:t>
              </w:r>
            </w:hyperlink>
          </w:p>
        </w:tc>
        <w:tc>
          <w:tcPr>
            <w:tcW w:w="8171" w:type="dxa"/>
            <w:vAlign w:val="center"/>
          </w:tcPr>
          <w:p w14:paraId="2B3321D5" w14:textId="77777777" w:rsidR="00255B21" w:rsidRPr="00255B21" w:rsidRDefault="00255B21" w:rsidP="00255B21">
            <w:pPr>
              <w:rPr>
                <w:rFonts w:ascii="Arial" w:hAnsi="Arial" w:cs="Arial"/>
              </w:rPr>
            </w:pPr>
          </w:p>
        </w:tc>
      </w:tr>
      <w:tr w:rsidR="00255B21" w14:paraId="2B3321DA" w14:textId="77777777" w:rsidTr="00255B21">
        <w:trPr>
          <w:trHeight w:val="788"/>
        </w:trPr>
        <w:tc>
          <w:tcPr>
            <w:tcW w:w="2405" w:type="dxa"/>
            <w:vAlign w:val="center"/>
          </w:tcPr>
          <w:p w14:paraId="2B3321D7" w14:textId="77777777" w:rsidR="00255B21" w:rsidRDefault="00255B21" w:rsidP="00255B21">
            <w:pPr>
              <w:rPr>
                <w:rFonts w:ascii="Arial" w:hAnsi="Arial" w:cs="Arial"/>
                <w:b/>
              </w:rPr>
            </w:pPr>
            <w:r w:rsidRPr="00255B21">
              <w:rPr>
                <w:rFonts w:ascii="Arial" w:hAnsi="Arial" w:cs="Arial"/>
                <w:b/>
              </w:rPr>
              <w:t>The Manuel Handling Operations Regulations (1992) Amended (2002)</w:t>
            </w:r>
          </w:p>
          <w:p w14:paraId="2B3321D8" w14:textId="77777777" w:rsidR="00255B21" w:rsidRPr="00255B21" w:rsidRDefault="00A96C29" w:rsidP="00255B21">
            <w:pPr>
              <w:rPr>
                <w:rFonts w:ascii="Arial" w:hAnsi="Arial" w:cs="Arial"/>
                <w:b/>
              </w:rPr>
            </w:pPr>
            <w:hyperlink r:id="rId13" w:history="1">
              <w:r w:rsidR="00255B21" w:rsidRPr="00255B21">
                <w:rPr>
                  <w:rStyle w:val="Hyperlink"/>
                  <w:rFonts w:ascii="Arial" w:hAnsi="Arial" w:cs="Arial"/>
                  <w:b/>
                  <w:sz w:val="16"/>
                </w:rPr>
                <w:t>http://www.healthyworkinglives.com/advice/work-equipment/manual-handling</w:t>
              </w:r>
            </w:hyperlink>
          </w:p>
        </w:tc>
        <w:tc>
          <w:tcPr>
            <w:tcW w:w="8171" w:type="dxa"/>
            <w:vAlign w:val="center"/>
          </w:tcPr>
          <w:p w14:paraId="2B3321D9" w14:textId="77777777" w:rsidR="00255B21" w:rsidRPr="00255B21" w:rsidRDefault="00255B21" w:rsidP="00255B21">
            <w:pPr>
              <w:rPr>
                <w:rFonts w:ascii="Arial" w:hAnsi="Arial" w:cs="Arial"/>
              </w:rPr>
            </w:pPr>
          </w:p>
        </w:tc>
      </w:tr>
      <w:tr w:rsidR="00255B21" w14:paraId="2B3321DE" w14:textId="77777777" w:rsidTr="00255B21">
        <w:trPr>
          <w:trHeight w:val="788"/>
        </w:trPr>
        <w:tc>
          <w:tcPr>
            <w:tcW w:w="2405" w:type="dxa"/>
            <w:vAlign w:val="center"/>
          </w:tcPr>
          <w:p w14:paraId="2B3321DB" w14:textId="77777777" w:rsidR="00255B21" w:rsidRDefault="00255B21" w:rsidP="00255B21">
            <w:pPr>
              <w:rPr>
                <w:rFonts w:ascii="Arial" w:hAnsi="Arial" w:cs="Arial"/>
                <w:b/>
              </w:rPr>
            </w:pPr>
            <w:r w:rsidRPr="00255B21">
              <w:rPr>
                <w:rFonts w:ascii="Arial" w:hAnsi="Arial" w:cs="Arial"/>
                <w:b/>
              </w:rPr>
              <w:t>The Food Hygiene Regulations (2006) Amended (2013)</w:t>
            </w:r>
          </w:p>
          <w:p w14:paraId="2B3321DC" w14:textId="77777777" w:rsidR="0052024F" w:rsidRPr="00255B21" w:rsidRDefault="00A96C29" w:rsidP="0052024F">
            <w:pPr>
              <w:rPr>
                <w:rFonts w:ascii="Arial" w:hAnsi="Arial" w:cs="Arial"/>
                <w:b/>
              </w:rPr>
            </w:pPr>
            <w:hyperlink r:id="rId14" w:history="1">
              <w:r w:rsidR="0052024F" w:rsidRPr="0052024F">
                <w:rPr>
                  <w:rStyle w:val="Hyperlink"/>
                  <w:rFonts w:ascii="Arial" w:hAnsi="Arial" w:cs="Arial"/>
                  <w:b/>
                  <w:sz w:val="16"/>
                </w:rPr>
                <w:t>https://www.gov.uk/food-safety-your-responsibilities/food-safety</w:t>
              </w:r>
            </w:hyperlink>
          </w:p>
        </w:tc>
        <w:tc>
          <w:tcPr>
            <w:tcW w:w="8171" w:type="dxa"/>
            <w:vAlign w:val="center"/>
          </w:tcPr>
          <w:p w14:paraId="2B3321DD" w14:textId="77777777" w:rsidR="00255B21" w:rsidRPr="00255B21" w:rsidRDefault="00255B21" w:rsidP="00255B21">
            <w:pPr>
              <w:rPr>
                <w:rFonts w:ascii="Arial" w:hAnsi="Arial" w:cs="Arial"/>
              </w:rPr>
            </w:pPr>
          </w:p>
        </w:tc>
      </w:tr>
      <w:tr w:rsidR="00255B21" w14:paraId="2B3321E2" w14:textId="77777777" w:rsidTr="00255B21">
        <w:trPr>
          <w:trHeight w:val="788"/>
        </w:trPr>
        <w:tc>
          <w:tcPr>
            <w:tcW w:w="2405" w:type="dxa"/>
            <w:vAlign w:val="center"/>
          </w:tcPr>
          <w:p w14:paraId="2B3321DF" w14:textId="77777777" w:rsidR="00255B21" w:rsidRDefault="00255B21" w:rsidP="00255B21">
            <w:pPr>
              <w:rPr>
                <w:rFonts w:ascii="Arial" w:hAnsi="Arial" w:cs="Arial"/>
                <w:b/>
              </w:rPr>
            </w:pPr>
            <w:r w:rsidRPr="00255B21">
              <w:rPr>
                <w:rFonts w:ascii="Arial" w:hAnsi="Arial" w:cs="Arial"/>
                <w:b/>
              </w:rPr>
              <w:t>Care Quality Commission Standards</w:t>
            </w:r>
          </w:p>
          <w:p w14:paraId="2B3321E0" w14:textId="77777777" w:rsidR="0052024F" w:rsidRPr="00255B21" w:rsidRDefault="00A96C29" w:rsidP="0052024F">
            <w:pPr>
              <w:rPr>
                <w:rFonts w:ascii="Arial" w:hAnsi="Arial" w:cs="Arial"/>
                <w:b/>
              </w:rPr>
            </w:pPr>
            <w:hyperlink r:id="rId15" w:history="1">
              <w:r w:rsidR="0052024F" w:rsidRPr="0052024F">
                <w:rPr>
                  <w:rStyle w:val="Hyperlink"/>
                  <w:rFonts w:ascii="Arial" w:hAnsi="Arial" w:cs="Arial"/>
                  <w:b/>
                  <w:sz w:val="16"/>
                </w:rPr>
                <w:t>http://www.cqc.org.uk/content/fundamental-standards</w:t>
              </w:r>
            </w:hyperlink>
          </w:p>
        </w:tc>
        <w:tc>
          <w:tcPr>
            <w:tcW w:w="8171" w:type="dxa"/>
            <w:vAlign w:val="center"/>
          </w:tcPr>
          <w:p w14:paraId="2B3321E1" w14:textId="77777777" w:rsidR="00255B21" w:rsidRPr="00255B21" w:rsidRDefault="00255B21" w:rsidP="00255B21">
            <w:pPr>
              <w:rPr>
                <w:rFonts w:ascii="Arial" w:hAnsi="Arial" w:cs="Arial"/>
              </w:rPr>
            </w:pPr>
          </w:p>
        </w:tc>
      </w:tr>
      <w:tr w:rsidR="00255B21" w14:paraId="2B3321E6" w14:textId="77777777" w:rsidTr="00255B21">
        <w:trPr>
          <w:trHeight w:val="788"/>
        </w:trPr>
        <w:tc>
          <w:tcPr>
            <w:tcW w:w="2405" w:type="dxa"/>
            <w:vAlign w:val="center"/>
          </w:tcPr>
          <w:p w14:paraId="2B3321E3" w14:textId="77777777" w:rsidR="00255B21" w:rsidRDefault="00255B21" w:rsidP="00255B21">
            <w:pPr>
              <w:rPr>
                <w:rFonts w:ascii="Arial" w:hAnsi="Arial" w:cs="Arial"/>
                <w:b/>
              </w:rPr>
            </w:pPr>
            <w:r w:rsidRPr="00255B21">
              <w:rPr>
                <w:rFonts w:ascii="Arial" w:hAnsi="Arial" w:cs="Arial"/>
                <w:b/>
              </w:rPr>
              <w:t>Disclosure and Barring Service Checks (DBS)</w:t>
            </w:r>
          </w:p>
          <w:p w14:paraId="2B3321E4" w14:textId="77777777" w:rsidR="0052024F" w:rsidRPr="00255B21" w:rsidRDefault="00A96C29" w:rsidP="0052024F">
            <w:pPr>
              <w:rPr>
                <w:rFonts w:ascii="Arial" w:hAnsi="Arial" w:cs="Arial"/>
                <w:b/>
              </w:rPr>
            </w:pPr>
            <w:hyperlink r:id="rId16" w:history="1">
              <w:r w:rsidR="0052024F" w:rsidRPr="0052024F">
                <w:rPr>
                  <w:rStyle w:val="Hyperlink"/>
                  <w:rFonts w:ascii="Arial" w:hAnsi="Arial" w:cs="Arial"/>
                  <w:b/>
                  <w:sz w:val="18"/>
                </w:rPr>
                <w:t>https://www.gov.uk/government/organisations/disclosure-and-barring-service/about</w:t>
              </w:r>
            </w:hyperlink>
          </w:p>
        </w:tc>
        <w:tc>
          <w:tcPr>
            <w:tcW w:w="8171" w:type="dxa"/>
            <w:vAlign w:val="center"/>
          </w:tcPr>
          <w:p w14:paraId="2B3321E5" w14:textId="77777777" w:rsidR="001B395D" w:rsidRPr="00255B21" w:rsidRDefault="001B395D" w:rsidP="00255B21">
            <w:pPr>
              <w:rPr>
                <w:rFonts w:ascii="Arial" w:hAnsi="Arial" w:cs="Arial"/>
              </w:rPr>
            </w:pPr>
          </w:p>
        </w:tc>
      </w:tr>
    </w:tbl>
    <w:p w14:paraId="2B3321E7" w14:textId="77777777" w:rsidR="00255B21" w:rsidRPr="00255B21" w:rsidRDefault="00255B21" w:rsidP="00255B21">
      <w:pPr>
        <w:rPr>
          <w:rFonts w:ascii="Arial" w:hAnsi="Arial" w:cs="Arial"/>
          <w:sz w:val="24"/>
          <w:u w:val="single"/>
        </w:rPr>
      </w:pPr>
    </w:p>
    <w:p w14:paraId="2B3321E8" w14:textId="77777777" w:rsidR="001B395D" w:rsidRDefault="001B395D" w:rsidP="001B395D">
      <w:pPr>
        <w:rPr>
          <w:rFonts w:ascii="Arial" w:hAnsi="Arial" w:cs="Arial"/>
          <w:sz w:val="24"/>
        </w:rPr>
      </w:pPr>
    </w:p>
    <w:p w14:paraId="2B3321E9" w14:textId="77777777" w:rsidR="001B395D" w:rsidRDefault="001B395D">
      <w:pPr>
        <w:rPr>
          <w:rFonts w:ascii="Arial" w:hAnsi="Arial" w:cs="Arial"/>
          <w:sz w:val="24"/>
        </w:rPr>
      </w:pPr>
      <w:r>
        <w:rPr>
          <w:rFonts w:ascii="Arial" w:hAnsi="Arial" w:cs="Arial"/>
          <w:sz w:val="24"/>
        </w:rPr>
        <w:br w:type="page"/>
      </w:r>
    </w:p>
    <w:p w14:paraId="2B3321EA" w14:textId="77777777" w:rsidR="001B395D" w:rsidRDefault="001B395D" w:rsidP="001B395D">
      <w:pPr>
        <w:rPr>
          <w:rFonts w:ascii="Arial" w:hAnsi="Arial" w:cs="Arial"/>
          <w:sz w:val="24"/>
        </w:rPr>
      </w:pPr>
    </w:p>
    <w:p w14:paraId="2B3321EB" w14:textId="77777777" w:rsidR="001B395D" w:rsidRDefault="001B395D" w:rsidP="001B395D">
      <w:pPr>
        <w:rPr>
          <w:rFonts w:ascii="Arial" w:hAnsi="Arial" w:cs="Arial"/>
          <w:sz w:val="24"/>
        </w:rPr>
      </w:pPr>
    </w:p>
    <w:p w14:paraId="2B3321EC" w14:textId="77777777" w:rsidR="001B395D" w:rsidRDefault="001B395D" w:rsidP="001B395D">
      <w:pPr>
        <w:rPr>
          <w:rFonts w:ascii="Arial" w:hAnsi="Arial" w:cs="Arial"/>
          <w:sz w:val="24"/>
        </w:rPr>
      </w:pPr>
    </w:p>
    <w:p w14:paraId="2B3321ED" w14:textId="77777777" w:rsidR="001B395D" w:rsidRDefault="001B395D" w:rsidP="001B395D">
      <w:pPr>
        <w:rPr>
          <w:rFonts w:ascii="Arial" w:hAnsi="Arial" w:cs="Arial"/>
          <w:sz w:val="24"/>
        </w:rPr>
      </w:pPr>
    </w:p>
    <w:p w14:paraId="2B3321EE" w14:textId="77777777" w:rsidR="001B395D" w:rsidRDefault="001B395D" w:rsidP="001B395D">
      <w:pPr>
        <w:rPr>
          <w:rFonts w:ascii="Arial" w:hAnsi="Arial" w:cs="Arial"/>
          <w:sz w:val="24"/>
        </w:rPr>
      </w:pPr>
    </w:p>
    <w:p w14:paraId="2B3321EF" w14:textId="77777777" w:rsidR="001B395D" w:rsidRDefault="001B395D" w:rsidP="001B395D">
      <w:pPr>
        <w:rPr>
          <w:rFonts w:ascii="Arial" w:hAnsi="Arial" w:cs="Arial"/>
          <w:sz w:val="24"/>
        </w:rPr>
      </w:pPr>
    </w:p>
    <w:p w14:paraId="2B3321F0" w14:textId="77777777" w:rsidR="001B395D" w:rsidRPr="00253BF1" w:rsidRDefault="001B395D" w:rsidP="00331FFB">
      <w:pPr>
        <w:rPr>
          <w:rFonts w:ascii="Arial" w:hAnsi="Arial" w:cs="Arial"/>
          <w:sz w:val="24"/>
          <w:szCs w:val="24"/>
        </w:rPr>
      </w:pPr>
      <w:r w:rsidRPr="00253BF1">
        <w:rPr>
          <w:noProof/>
          <w:sz w:val="24"/>
          <w:szCs w:val="24"/>
          <w:lang w:eastAsia="en-GB"/>
        </w:rPr>
        <mc:AlternateContent>
          <mc:Choice Requires="wps">
            <w:drawing>
              <wp:anchor distT="0" distB="0" distL="114300" distR="114300" simplePos="0" relativeHeight="251659264" behindDoc="0" locked="0" layoutInCell="1" allowOverlap="1" wp14:anchorId="2B3321F1" wp14:editId="2B3321F2">
                <wp:simplePos x="0" y="0"/>
                <wp:positionH relativeFrom="margin">
                  <wp:posOffset>-209550</wp:posOffset>
                </wp:positionH>
                <wp:positionV relativeFrom="margin">
                  <wp:align>top</wp:align>
                </wp:positionV>
                <wp:extent cx="7086600" cy="1562100"/>
                <wp:effectExtent l="0" t="0" r="19050" b="19050"/>
                <wp:wrapNone/>
                <wp:docPr id="2" name="TextBox 1"/>
                <wp:cNvGraphicFramePr/>
                <a:graphic xmlns:a="http://schemas.openxmlformats.org/drawingml/2006/main">
                  <a:graphicData uri="http://schemas.microsoft.com/office/word/2010/wordprocessingShape">
                    <wps:wsp>
                      <wps:cNvSpPr txBox="1"/>
                      <wps:spPr>
                        <a:xfrm>
                          <a:off x="0" y="0"/>
                          <a:ext cx="7086600" cy="156210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2B3321F3" w14:textId="77777777" w:rsidR="001B395D" w:rsidRPr="001B395D" w:rsidRDefault="001B395D" w:rsidP="001B395D">
                            <w:pPr>
                              <w:pStyle w:val="NormalWeb"/>
                              <w:spacing w:before="0" w:beforeAutospacing="0" w:after="0" w:afterAutospacing="0"/>
                              <w:rPr>
                                <w:rFonts w:ascii="Arial" w:hAnsi="Arial" w:cs="Arial"/>
                                <w:sz w:val="16"/>
                              </w:rPr>
                            </w:pPr>
                            <w:r w:rsidRPr="001B395D">
                              <w:rPr>
                                <w:rFonts w:ascii="Arial" w:hAnsi="Arial" w:cs="Arial"/>
                                <w:color w:val="000000" w:themeColor="dark1"/>
                                <w:kern w:val="24"/>
                                <w:sz w:val="20"/>
                                <w:szCs w:val="32"/>
                              </w:rPr>
                              <w:t>The Francis Report into the treatment of patients in hospital in the Mid Staffordshire NHS Trust very poor quality care. The first inquiry heard from service users and their families about the appalling care they received, including cases where:</w:t>
                            </w:r>
                          </w:p>
                          <w:p w14:paraId="2B3321F4" w14:textId="77777777" w:rsidR="001B395D" w:rsidRPr="001B395D" w:rsidRDefault="001B395D" w:rsidP="001B395D">
                            <w:pPr>
                              <w:pStyle w:val="ListParagraph"/>
                              <w:numPr>
                                <w:ilvl w:val="0"/>
                                <w:numId w:val="1"/>
                              </w:numPr>
                              <w:rPr>
                                <w:rFonts w:ascii="Arial" w:eastAsia="Times New Roman" w:hAnsi="Arial" w:cs="Arial"/>
                                <w:sz w:val="20"/>
                              </w:rPr>
                            </w:pPr>
                            <w:r w:rsidRPr="001B395D">
                              <w:rPr>
                                <w:rFonts w:ascii="Arial" w:hAnsi="Arial" w:cs="Arial"/>
                                <w:color w:val="000000" w:themeColor="dark1"/>
                                <w:kern w:val="24"/>
                                <w:sz w:val="20"/>
                                <w:szCs w:val="32"/>
                              </w:rPr>
                              <w:t xml:space="preserve">Service users were left for lengthy periods in bedclothes soiled with excrement </w:t>
                            </w:r>
                          </w:p>
                          <w:p w14:paraId="2B3321F5" w14:textId="77777777" w:rsidR="001B395D" w:rsidRPr="001B395D" w:rsidRDefault="001B395D" w:rsidP="001B395D">
                            <w:pPr>
                              <w:pStyle w:val="ListParagraph"/>
                              <w:numPr>
                                <w:ilvl w:val="0"/>
                                <w:numId w:val="1"/>
                              </w:numPr>
                              <w:rPr>
                                <w:rFonts w:ascii="Arial" w:eastAsia="Times New Roman" w:hAnsi="Arial" w:cs="Arial"/>
                                <w:sz w:val="20"/>
                              </w:rPr>
                            </w:pPr>
                            <w:r w:rsidRPr="001B395D">
                              <w:rPr>
                                <w:rFonts w:ascii="Arial" w:hAnsi="Arial" w:cs="Arial"/>
                                <w:color w:val="000000" w:themeColor="dark1"/>
                                <w:kern w:val="24"/>
                                <w:sz w:val="20"/>
                                <w:szCs w:val="32"/>
                              </w:rPr>
                              <w:t>Assistance was not provided with feeding for service users unable to eat without help</w:t>
                            </w:r>
                          </w:p>
                          <w:p w14:paraId="2B3321F6" w14:textId="77777777" w:rsidR="001B395D" w:rsidRPr="001B395D" w:rsidRDefault="001B395D" w:rsidP="001B395D">
                            <w:pPr>
                              <w:pStyle w:val="ListParagraph"/>
                              <w:numPr>
                                <w:ilvl w:val="0"/>
                                <w:numId w:val="1"/>
                              </w:numPr>
                              <w:rPr>
                                <w:rFonts w:ascii="Arial" w:eastAsia="Times New Roman" w:hAnsi="Arial" w:cs="Arial"/>
                                <w:sz w:val="20"/>
                              </w:rPr>
                            </w:pPr>
                            <w:r w:rsidRPr="001B395D">
                              <w:rPr>
                                <w:rFonts w:ascii="Arial" w:hAnsi="Arial" w:cs="Arial"/>
                                <w:color w:val="000000" w:themeColor="dark1"/>
                                <w:kern w:val="24"/>
                                <w:sz w:val="20"/>
                                <w:szCs w:val="32"/>
                              </w:rPr>
                              <w:t>Water was left out of the service users’ reach</w:t>
                            </w:r>
                          </w:p>
                          <w:p w14:paraId="2B3321F7" w14:textId="77777777" w:rsidR="001B395D" w:rsidRPr="001B395D" w:rsidRDefault="001B395D" w:rsidP="001B395D">
                            <w:pPr>
                              <w:pStyle w:val="ListParagraph"/>
                              <w:numPr>
                                <w:ilvl w:val="0"/>
                                <w:numId w:val="1"/>
                              </w:numPr>
                              <w:rPr>
                                <w:rFonts w:ascii="Arial" w:eastAsia="Times New Roman" w:hAnsi="Arial" w:cs="Arial"/>
                                <w:sz w:val="20"/>
                              </w:rPr>
                            </w:pPr>
                            <w:r w:rsidRPr="001B395D">
                              <w:rPr>
                                <w:rFonts w:ascii="Arial" w:hAnsi="Arial" w:cs="Arial"/>
                                <w:color w:val="000000" w:themeColor="dark1"/>
                                <w:kern w:val="24"/>
                                <w:sz w:val="20"/>
                                <w:szCs w:val="32"/>
                              </w:rPr>
                              <w:t>Service users were not assisted in their toileting- despite persistent toilet requests for help</w:t>
                            </w:r>
                          </w:p>
                          <w:p w14:paraId="2B3321F8" w14:textId="77777777" w:rsidR="001B395D" w:rsidRPr="001B395D" w:rsidRDefault="001B395D" w:rsidP="001B395D">
                            <w:pPr>
                              <w:pStyle w:val="ListParagraph"/>
                              <w:numPr>
                                <w:ilvl w:val="0"/>
                                <w:numId w:val="1"/>
                              </w:numPr>
                              <w:rPr>
                                <w:rFonts w:ascii="Arial" w:eastAsia="Times New Roman" w:hAnsi="Arial" w:cs="Arial"/>
                                <w:sz w:val="20"/>
                              </w:rPr>
                            </w:pPr>
                            <w:r w:rsidRPr="001B395D">
                              <w:rPr>
                                <w:rFonts w:ascii="Arial" w:hAnsi="Arial" w:cs="Arial"/>
                                <w:color w:val="000000" w:themeColor="dark1"/>
                                <w:kern w:val="24"/>
                                <w:sz w:val="20"/>
                                <w:szCs w:val="32"/>
                              </w:rPr>
                              <w:t>Wards and toilet facilities were in a filthy condition</w:t>
                            </w:r>
                          </w:p>
                          <w:p w14:paraId="2B3321F9" w14:textId="77777777" w:rsidR="001B395D" w:rsidRPr="001B395D" w:rsidRDefault="001B395D" w:rsidP="001B395D">
                            <w:pPr>
                              <w:pStyle w:val="ListParagraph"/>
                              <w:numPr>
                                <w:ilvl w:val="0"/>
                                <w:numId w:val="1"/>
                              </w:numPr>
                              <w:rPr>
                                <w:rFonts w:ascii="Arial" w:eastAsia="Times New Roman" w:hAnsi="Arial" w:cs="Arial"/>
                                <w:sz w:val="20"/>
                              </w:rPr>
                            </w:pPr>
                            <w:r w:rsidRPr="001B395D">
                              <w:rPr>
                                <w:rFonts w:ascii="Arial" w:hAnsi="Arial" w:cs="Arial"/>
                                <w:color w:val="000000" w:themeColor="dark1"/>
                                <w:kern w:val="24"/>
                                <w:sz w:val="20"/>
                                <w:szCs w:val="32"/>
                              </w:rPr>
                              <w:t>Privacy and dignity, even in death, were denied</w:t>
                            </w:r>
                          </w:p>
                          <w:p w14:paraId="2B3321FA" w14:textId="77777777" w:rsidR="001B395D" w:rsidRPr="001B395D" w:rsidRDefault="001B395D" w:rsidP="001B395D">
                            <w:pPr>
                              <w:pStyle w:val="ListParagraph"/>
                              <w:numPr>
                                <w:ilvl w:val="0"/>
                                <w:numId w:val="1"/>
                              </w:numPr>
                              <w:rPr>
                                <w:rFonts w:ascii="Arial" w:eastAsia="Times New Roman" w:hAnsi="Arial" w:cs="Arial"/>
                                <w:sz w:val="20"/>
                              </w:rPr>
                            </w:pPr>
                            <w:r w:rsidRPr="001B395D">
                              <w:rPr>
                                <w:rFonts w:ascii="Arial" w:hAnsi="Arial" w:cs="Arial"/>
                                <w:color w:val="000000" w:themeColor="dark1"/>
                                <w:kern w:val="24"/>
                                <w:sz w:val="20"/>
                                <w:szCs w:val="32"/>
                              </w:rPr>
                              <w:t>Triage in the accident and emergency department was undertaken by untrained staff</w:t>
                            </w:r>
                          </w:p>
                          <w:p w14:paraId="2B3321FB" w14:textId="77777777" w:rsidR="001B395D" w:rsidRPr="001B395D" w:rsidRDefault="001B395D" w:rsidP="001B395D">
                            <w:pPr>
                              <w:pStyle w:val="ListParagraph"/>
                              <w:numPr>
                                <w:ilvl w:val="0"/>
                                <w:numId w:val="1"/>
                              </w:numPr>
                              <w:rPr>
                                <w:rFonts w:ascii="Arial" w:eastAsia="Times New Roman" w:hAnsi="Arial" w:cs="Arial"/>
                                <w:sz w:val="20"/>
                              </w:rPr>
                            </w:pPr>
                            <w:r w:rsidRPr="001B395D">
                              <w:rPr>
                                <w:rFonts w:ascii="Arial" w:hAnsi="Arial" w:cs="Arial"/>
                                <w:color w:val="000000" w:themeColor="dark1"/>
                                <w:kern w:val="24"/>
                                <w:sz w:val="20"/>
                                <w:szCs w:val="32"/>
                              </w:rPr>
                              <w:t xml:space="preserve">Staff treated service users, and those close to them, with what appeared to be callous indifference.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B3321F1" id="_x0000_t202" coordsize="21600,21600" o:spt="202" path="m,l,21600r21600,l21600,xe">
                <v:stroke joinstyle="miter"/>
                <v:path gradientshapeok="t" o:connecttype="rect"/>
              </v:shapetype>
              <v:shape id="TextBox 1" o:spid="_x0000_s1026" type="#_x0000_t202" style="position:absolute;margin-left:-16.5pt;margin-top:0;width:558pt;height:123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" fillcolor="white [3201]" strokecolor="black [3200]" strokeweight="1.5pt">
                <v:textbox>
                  <w:txbxContent>
                    <w:p w14:paraId="2B3321F3" w14:textId="77777777" w:rsidR="001B395D" w:rsidRPr="001B395D" w:rsidRDefault="001B395D" w:rsidP="001B395D">
                      <w:pPr>
                        <w:pStyle w:val="NormalWeb"/>
                        <w:spacing w:before="0" w:beforeAutospacing="0" w:after="0" w:afterAutospacing="0"/>
                        <w:rPr>
                          <w:rFonts w:ascii="Arial" w:hAnsi="Arial" w:cs="Arial"/>
                          <w:sz w:val="16"/>
                        </w:rPr>
                      </w:pPr>
                      <w:r w:rsidRPr="001B395D">
                        <w:rPr>
                          <w:rFonts w:ascii="Arial" w:hAnsi="Arial" w:cs="Arial"/>
                          <w:color w:val="000000" w:themeColor="dark1"/>
                          <w:kern w:val="24"/>
                          <w:sz w:val="20"/>
                          <w:szCs w:val="32"/>
                        </w:rPr>
                        <w:t>The Francis Report into the treatment of patients in hospital in the Mid Staffordshire NHS Trust very poor quality care. The first inquiry heard from service users and their families about the appalling care they received, including cases where:</w:t>
                      </w:r>
                    </w:p>
                    <w:p w14:paraId="2B3321F4" w14:textId="77777777" w:rsidR="001B395D" w:rsidRPr="001B395D" w:rsidRDefault="001B395D" w:rsidP="001B395D">
                      <w:pPr>
                        <w:pStyle w:val="ListParagraph"/>
                        <w:numPr>
                          <w:ilvl w:val="0"/>
                          <w:numId w:val="1"/>
                        </w:numPr>
                        <w:rPr>
                          <w:rFonts w:ascii="Arial" w:eastAsia="Times New Roman" w:hAnsi="Arial" w:cs="Arial"/>
                          <w:sz w:val="20"/>
                        </w:rPr>
                      </w:pPr>
                      <w:r w:rsidRPr="001B395D">
                        <w:rPr>
                          <w:rFonts w:ascii="Arial" w:hAnsi="Arial" w:cs="Arial"/>
                          <w:color w:val="000000" w:themeColor="dark1"/>
                          <w:kern w:val="24"/>
                          <w:sz w:val="20"/>
                          <w:szCs w:val="32"/>
                        </w:rPr>
                        <w:t xml:space="preserve">Service users were left for lengthy periods in bedclothes soiled with excrement </w:t>
                      </w:r>
                    </w:p>
                    <w:p w14:paraId="2B3321F5" w14:textId="77777777" w:rsidR="001B395D" w:rsidRPr="001B395D" w:rsidRDefault="001B395D" w:rsidP="001B395D">
                      <w:pPr>
                        <w:pStyle w:val="ListParagraph"/>
                        <w:numPr>
                          <w:ilvl w:val="0"/>
                          <w:numId w:val="1"/>
                        </w:numPr>
                        <w:rPr>
                          <w:rFonts w:ascii="Arial" w:eastAsia="Times New Roman" w:hAnsi="Arial" w:cs="Arial"/>
                          <w:sz w:val="20"/>
                        </w:rPr>
                      </w:pPr>
                      <w:r w:rsidRPr="001B395D">
                        <w:rPr>
                          <w:rFonts w:ascii="Arial" w:hAnsi="Arial" w:cs="Arial"/>
                          <w:color w:val="000000" w:themeColor="dark1"/>
                          <w:kern w:val="24"/>
                          <w:sz w:val="20"/>
                          <w:szCs w:val="32"/>
                        </w:rPr>
                        <w:t>Assistance was not provided with feeding for service users unable to eat without help</w:t>
                      </w:r>
                    </w:p>
                    <w:p w14:paraId="2B3321F6" w14:textId="77777777" w:rsidR="001B395D" w:rsidRPr="001B395D" w:rsidRDefault="001B395D" w:rsidP="001B395D">
                      <w:pPr>
                        <w:pStyle w:val="ListParagraph"/>
                        <w:numPr>
                          <w:ilvl w:val="0"/>
                          <w:numId w:val="1"/>
                        </w:numPr>
                        <w:rPr>
                          <w:rFonts w:ascii="Arial" w:eastAsia="Times New Roman" w:hAnsi="Arial" w:cs="Arial"/>
                          <w:sz w:val="20"/>
                        </w:rPr>
                      </w:pPr>
                      <w:r w:rsidRPr="001B395D">
                        <w:rPr>
                          <w:rFonts w:ascii="Arial" w:hAnsi="Arial" w:cs="Arial"/>
                          <w:color w:val="000000" w:themeColor="dark1"/>
                          <w:kern w:val="24"/>
                          <w:sz w:val="20"/>
                          <w:szCs w:val="32"/>
                        </w:rPr>
                        <w:t>Water was left out of the service users’ reach</w:t>
                      </w:r>
                    </w:p>
                    <w:p w14:paraId="2B3321F7" w14:textId="77777777" w:rsidR="001B395D" w:rsidRPr="001B395D" w:rsidRDefault="001B395D" w:rsidP="001B395D">
                      <w:pPr>
                        <w:pStyle w:val="ListParagraph"/>
                        <w:numPr>
                          <w:ilvl w:val="0"/>
                          <w:numId w:val="1"/>
                        </w:numPr>
                        <w:rPr>
                          <w:rFonts w:ascii="Arial" w:eastAsia="Times New Roman" w:hAnsi="Arial" w:cs="Arial"/>
                          <w:sz w:val="20"/>
                        </w:rPr>
                      </w:pPr>
                      <w:r w:rsidRPr="001B395D">
                        <w:rPr>
                          <w:rFonts w:ascii="Arial" w:hAnsi="Arial" w:cs="Arial"/>
                          <w:color w:val="000000" w:themeColor="dark1"/>
                          <w:kern w:val="24"/>
                          <w:sz w:val="20"/>
                          <w:szCs w:val="32"/>
                        </w:rPr>
                        <w:t>Service users were not assisted in their toileting- despite persistent toilet requests for help</w:t>
                      </w:r>
                    </w:p>
                    <w:p w14:paraId="2B3321F8" w14:textId="77777777" w:rsidR="001B395D" w:rsidRPr="001B395D" w:rsidRDefault="001B395D" w:rsidP="001B395D">
                      <w:pPr>
                        <w:pStyle w:val="ListParagraph"/>
                        <w:numPr>
                          <w:ilvl w:val="0"/>
                          <w:numId w:val="1"/>
                        </w:numPr>
                        <w:rPr>
                          <w:rFonts w:ascii="Arial" w:eastAsia="Times New Roman" w:hAnsi="Arial" w:cs="Arial"/>
                          <w:sz w:val="20"/>
                        </w:rPr>
                      </w:pPr>
                      <w:r w:rsidRPr="001B395D">
                        <w:rPr>
                          <w:rFonts w:ascii="Arial" w:hAnsi="Arial" w:cs="Arial"/>
                          <w:color w:val="000000" w:themeColor="dark1"/>
                          <w:kern w:val="24"/>
                          <w:sz w:val="20"/>
                          <w:szCs w:val="32"/>
                        </w:rPr>
                        <w:t>Wards and toilet facilities were in a filthy condition</w:t>
                      </w:r>
                    </w:p>
                    <w:p w14:paraId="2B3321F9" w14:textId="77777777" w:rsidR="001B395D" w:rsidRPr="001B395D" w:rsidRDefault="001B395D" w:rsidP="001B395D">
                      <w:pPr>
                        <w:pStyle w:val="ListParagraph"/>
                        <w:numPr>
                          <w:ilvl w:val="0"/>
                          <w:numId w:val="1"/>
                        </w:numPr>
                        <w:rPr>
                          <w:rFonts w:ascii="Arial" w:eastAsia="Times New Roman" w:hAnsi="Arial" w:cs="Arial"/>
                          <w:sz w:val="20"/>
                        </w:rPr>
                      </w:pPr>
                      <w:r w:rsidRPr="001B395D">
                        <w:rPr>
                          <w:rFonts w:ascii="Arial" w:hAnsi="Arial" w:cs="Arial"/>
                          <w:color w:val="000000" w:themeColor="dark1"/>
                          <w:kern w:val="24"/>
                          <w:sz w:val="20"/>
                          <w:szCs w:val="32"/>
                        </w:rPr>
                        <w:t>Privacy and dignity, even in death, were denied</w:t>
                      </w:r>
                    </w:p>
                    <w:p w14:paraId="2B3321FA" w14:textId="77777777" w:rsidR="001B395D" w:rsidRPr="001B395D" w:rsidRDefault="001B395D" w:rsidP="001B395D">
                      <w:pPr>
                        <w:pStyle w:val="ListParagraph"/>
                        <w:numPr>
                          <w:ilvl w:val="0"/>
                          <w:numId w:val="1"/>
                        </w:numPr>
                        <w:rPr>
                          <w:rFonts w:ascii="Arial" w:eastAsia="Times New Roman" w:hAnsi="Arial" w:cs="Arial"/>
                          <w:sz w:val="20"/>
                        </w:rPr>
                      </w:pPr>
                      <w:r w:rsidRPr="001B395D">
                        <w:rPr>
                          <w:rFonts w:ascii="Arial" w:hAnsi="Arial" w:cs="Arial"/>
                          <w:color w:val="000000" w:themeColor="dark1"/>
                          <w:kern w:val="24"/>
                          <w:sz w:val="20"/>
                          <w:szCs w:val="32"/>
                        </w:rPr>
                        <w:t>Triage in the accident and emergency department was undertaken by untrained staff</w:t>
                      </w:r>
                    </w:p>
                    <w:p w14:paraId="2B3321FB" w14:textId="77777777" w:rsidR="001B395D" w:rsidRPr="001B395D" w:rsidRDefault="001B395D" w:rsidP="001B395D">
                      <w:pPr>
                        <w:pStyle w:val="ListParagraph"/>
                        <w:numPr>
                          <w:ilvl w:val="0"/>
                          <w:numId w:val="1"/>
                        </w:numPr>
                        <w:rPr>
                          <w:rFonts w:ascii="Arial" w:eastAsia="Times New Roman" w:hAnsi="Arial" w:cs="Arial"/>
                          <w:sz w:val="20"/>
                        </w:rPr>
                      </w:pPr>
                      <w:r w:rsidRPr="001B395D">
                        <w:rPr>
                          <w:rFonts w:ascii="Arial" w:hAnsi="Arial" w:cs="Arial"/>
                          <w:color w:val="000000" w:themeColor="dark1"/>
                          <w:kern w:val="24"/>
                          <w:sz w:val="20"/>
                          <w:szCs w:val="32"/>
                        </w:rPr>
                        <w:t xml:space="preserve">Staff treated service users, and those close to them, with what appeared to be callous indifference. </w:t>
                      </w:r>
                    </w:p>
                  </w:txbxContent>
                </v:textbox>
                <w10:wrap anchorx="margin" anchory="margin"/>
              </v:shape>
            </w:pict>
          </mc:Fallback>
        </mc:AlternateContent>
      </w:r>
      <w:r w:rsidR="00253BF1" w:rsidRPr="00253BF1">
        <w:rPr>
          <w:rFonts w:ascii="Arial" w:hAnsi="Arial" w:cs="Arial"/>
          <w:sz w:val="24"/>
          <w:szCs w:val="24"/>
        </w:rPr>
        <w:t>Write a report that i</w:t>
      </w:r>
      <w:r w:rsidRPr="00253BF1">
        <w:rPr>
          <w:rFonts w:ascii="Arial" w:hAnsi="Arial" w:cs="Arial"/>
          <w:sz w:val="24"/>
          <w:szCs w:val="24"/>
        </w:rPr>
        <w:t>dentifies which health and safety policies from the above table could have prevent</w:t>
      </w:r>
      <w:r w:rsidR="00253BF1" w:rsidRPr="00253BF1">
        <w:rPr>
          <w:rFonts w:ascii="Arial" w:hAnsi="Arial" w:cs="Arial"/>
          <w:sz w:val="24"/>
          <w:szCs w:val="24"/>
        </w:rPr>
        <w:t>ed the patients suffering (P6)</w:t>
      </w:r>
      <w:r w:rsidR="00CC4F0E">
        <w:rPr>
          <w:rFonts w:ascii="Arial" w:hAnsi="Arial" w:cs="Arial"/>
          <w:sz w:val="24"/>
          <w:szCs w:val="24"/>
        </w:rPr>
        <w:t xml:space="preserve">. </w:t>
      </w:r>
      <w:r w:rsidRPr="00253BF1">
        <w:rPr>
          <w:rFonts w:ascii="Arial" w:hAnsi="Arial" w:cs="Arial"/>
          <w:sz w:val="24"/>
        </w:rPr>
        <w:t>Analyse how these policies could have improved the service user’s care (M3). Justify (give your opinion) that the application of these policies would have maintained a safe environment for staff and service users (D3).</w:t>
      </w:r>
    </w:p>
    <w:sectPr w:rsidR="001B395D" w:rsidRPr="00253BF1" w:rsidSect="00255B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A6E75"/>
    <w:multiLevelType w:val="hybridMultilevel"/>
    <w:tmpl w:val="996C6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F12AAB"/>
    <w:multiLevelType w:val="hybridMultilevel"/>
    <w:tmpl w:val="D0225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D851DB"/>
    <w:multiLevelType w:val="hybridMultilevel"/>
    <w:tmpl w:val="FB9C52A8"/>
    <w:lvl w:ilvl="0" w:tplc="8320F33C">
      <w:start w:val="1"/>
      <w:numFmt w:val="bullet"/>
      <w:lvlText w:val="•"/>
      <w:lvlJc w:val="left"/>
      <w:pPr>
        <w:tabs>
          <w:tab w:val="num" w:pos="720"/>
        </w:tabs>
        <w:ind w:left="720" w:hanging="360"/>
      </w:pPr>
      <w:rPr>
        <w:rFonts w:ascii="Arial" w:hAnsi="Arial" w:hint="default"/>
      </w:rPr>
    </w:lvl>
    <w:lvl w:ilvl="1" w:tplc="CB2AA248" w:tentative="1">
      <w:start w:val="1"/>
      <w:numFmt w:val="bullet"/>
      <w:lvlText w:val="•"/>
      <w:lvlJc w:val="left"/>
      <w:pPr>
        <w:tabs>
          <w:tab w:val="num" w:pos="1440"/>
        </w:tabs>
        <w:ind w:left="1440" w:hanging="360"/>
      </w:pPr>
      <w:rPr>
        <w:rFonts w:ascii="Arial" w:hAnsi="Arial" w:hint="default"/>
      </w:rPr>
    </w:lvl>
    <w:lvl w:ilvl="2" w:tplc="16701A3A" w:tentative="1">
      <w:start w:val="1"/>
      <w:numFmt w:val="bullet"/>
      <w:lvlText w:val="•"/>
      <w:lvlJc w:val="left"/>
      <w:pPr>
        <w:tabs>
          <w:tab w:val="num" w:pos="2160"/>
        </w:tabs>
        <w:ind w:left="2160" w:hanging="360"/>
      </w:pPr>
      <w:rPr>
        <w:rFonts w:ascii="Arial" w:hAnsi="Arial" w:hint="default"/>
      </w:rPr>
    </w:lvl>
    <w:lvl w:ilvl="3" w:tplc="A4A2534E" w:tentative="1">
      <w:start w:val="1"/>
      <w:numFmt w:val="bullet"/>
      <w:lvlText w:val="•"/>
      <w:lvlJc w:val="left"/>
      <w:pPr>
        <w:tabs>
          <w:tab w:val="num" w:pos="2880"/>
        </w:tabs>
        <w:ind w:left="2880" w:hanging="360"/>
      </w:pPr>
      <w:rPr>
        <w:rFonts w:ascii="Arial" w:hAnsi="Arial" w:hint="default"/>
      </w:rPr>
    </w:lvl>
    <w:lvl w:ilvl="4" w:tplc="4F24750A" w:tentative="1">
      <w:start w:val="1"/>
      <w:numFmt w:val="bullet"/>
      <w:lvlText w:val="•"/>
      <w:lvlJc w:val="left"/>
      <w:pPr>
        <w:tabs>
          <w:tab w:val="num" w:pos="3600"/>
        </w:tabs>
        <w:ind w:left="3600" w:hanging="360"/>
      </w:pPr>
      <w:rPr>
        <w:rFonts w:ascii="Arial" w:hAnsi="Arial" w:hint="default"/>
      </w:rPr>
    </w:lvl>
    <w:lvl w:ilvl="5" w:tplc="82EABE5A" w:tentative="1">
      <w:start w:val="1"/>
      <w:numFmt w:val="bullet"/>
      <w:lvlText w:val="•"/>
      <w:lvlJc w:val="left"/>
      <w:pPr>
        <w:tabs>
          <w:tab w:val="num" w:pos="4320"/>
        </w:tabs>
        <w:ind w:left="4320" w:hanging="360"/>
      </w:pPr>
      <w:rPr>
        <w:rFonts w:ascii="Arial" w:hAnsi="Arial" w:hint="default"/>
      </w:rPr>
    </w:lvl>
    <w:lvl w:ilvl="6" w:tplc="39AA8284" w:tentative="1">
      <w:start w:val="1"/>
      <w:numFmt w:val="bullet"/>
      <w:lvlText w:val="•"/>
      <w:lvlJc w:val="left"/>
      <w:pPr>
        <w:tabs>
          <w:tab w:val="num" w:pos="5040"/>
        </w:tabs>
        <w:ind w:left="5040" w:hanging="360"/>
      </w:pPr>
      <w:rPr>
        <w:rFonts w:ascii="Arial" w:hAnsi="Arial" w:hint="default"/>
      </w:rPr>
    </w:lvl>
    <w:lvl w:ilvl="7" w:tplc="86E81872" w:tentative="1">
      <w:start w:val="1"/>
      <w:numFmt w:val="bullet"/>
      <w:lvlText w:val="•"/>
      <w:lvlJc w:val="left"/>
      <w:pPr>
        <w:tabs>
          <w:tab w:val="num" w:pos="5760"/>
        </w:tabs>
        <w:ind w:left="5760" w:hanging="360"/>
      </w:pPr>
      <w:rPr>
        <w:rFonts w:ascii="Arial" w:hAnsi="Arial" w:hint="default"/>
      </w:rPr>
    </w:lvl>
    <w:lvl w:ilvl="8" w:tplc="3CC2597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B21"/>
    <w:rsid w:val="00041996"/>
    <w:rsid w:val="001B395D"/>
    <w:rsid w:val="00253BF1"/>
    <w:rsid w:val="00255B21"/>
    <w:rsid w:val="00331FFB"/>
    <w:rsid w:val="0052024F"/>
    <w:rsid w:val="008A1711"/>
    <w:rsid w:val="00A96C29"/>
    <w:rsid w:val="00CC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321BE"/>
  <w15:chartTrackingRefBased/>
  <w15:docId w15:val="{3A3AB387-F7DC-4144-A646-1979B2E5B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55B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55B21"/>
    <w:rPr>
      <w:color w:val="0563C1" w:themeColor="hyperlink"/>
      <w:u w:val="single"/>
    </w:rPr>
  </w:style>
  <w:style w:type="paragraph" w:styleId="ListParagraph">
    <w:name w:val="List Paragraph"/>
    <w:basedOn w:val="Normal"/>
    <w:uiPriority w:val="34"/>
    <w:qFormat/>
    <w:rsid w:val="001B395D"/>
    <w:pPr>
      <w:spacing w:after="0" w:line="240" w:lineRule="auto"/>
      <w:ind w:left="720"/>
      <w:contextualSpacing/>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458725">
      <w:bodyDiv w:val="1"/>
      <w:marLeft w:val="0"/>
      <w:marRight w:val="0"/>
      <w:marTop w:val="0"/>
      <w:marBottom w:val="0"/>
      <w:divBdr>
        <w:top w:val="none" w:sz="0" w:space="0" w:color="auto"/>
        <w:left w:val="none" w:sz="0" w:space="0" w:color="auto"/>
        <w:bottom w:val="none" w:sz="0" w:space="0" w:color="auto"/>
        <w:right w:val="none" w:sz="0" w:space="0" w:color="auto"/>
      </w:divBdr>
      <w:divsChild>
        <w:div w:id="192617154">
          <w:marLeft w:val="446"/>
          <w:marRight w:val="0"/>
          <w:marTop w:val="0"/>
          <w:marBottom w:val="0"/>
          <w:divBdr>
            <w:top w:val="none" w:sz="0" w:space="0" w:color="auto"/>
            <w:left w:val="none" w:sz="0" w:space="0" w:color="auto"/>
            <w:bottom w:val="none" w:sz="0" w:space="0" w:color="auto"/>
            <w:right w:val="none" w:sz="0" w:space="0" w:color="auto"/>
          </w:divBdr>
        </w:div>
        <w:div w:id="1509248156">
          <w:marLeft w:val="446"/>
          <w:marRight w:val="0"/>
          <w:marTop w:val="0"/>
          <w:marBottom w:val="0"/>
          <w:divBdr>
            <w:top w:val="none" w:sz="0" w:space="0" w:color="auto"/>
            <w:left w:val="none" w:sz="0" w:space="0" w:color="auto"/>
            <w:bottom w:val="none" w:sz="0" w:space="0" w:color="auto"/>
            <w:right w:val="none" w:sz="0" w:space="0" w:color="auto"/>
          </w:divBdr>
        </w:div>
        <w:div w:id="1303120017">
          <w:marLeft w:val="446"/>
          <w:marRight w:val="0"/>
          <w:marTop w:val="0"/>
          <w:marBottom w:val="0"/>
          <w:divBdr>
            <w:top w:val="none" w:sz="0" w:space="0" w:color="auto"/>
            <w:left w:val="none" w:sz="0" w:space="0" w:color="auto"/>
            <w:bottom w:val="none" w:sz="0" w:space="0" w:color="auto"/>
            <w:right w:val="none" w:sz="0" w:space="0" w:color="auto"/>
          </w:divBdr>
        </w:div>
      </w:divsChild>
    </w:div>
    <w:div w:id="916092473">
      <w:bodyDiv w:val="1"/>
      <w:marLeft w:val="0"/>
      <w:marRight w:val="0"/>
      <w:marTop w:val="0"/>
      <w:marBottom w:val="0"/>
      <w:divBdr>
        <w:top w:val="none" w:sz="0" w:space="0" w:color="auto"/>
        <w:left w:val="none" w:sz="0" w:space="0" w:color="auto"/>
        <w:bottom w:val="none" w:sz="0" w:space="0" w:color="auto"/>
        <w:right w:val="none" w:sz="0" w:space="0" w:color="auto"/>
      </w:divBdr>
    </w:div>
    <w:div w:id="146974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yworkinglives.com/advice/Legislation-and-policy/Workplace-Health-and-Safety/health-safety-legislation" TargetMode="External"/><Relationship Id="rId13" Type="http://schemas.openxmlformats.org/officeDocument/2006/relationships/hyperlink" Target="http://www.healthyworkinglives.com/advice/work-equipment/manual-handl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hs.uk/Conditions/social-care-and-support-guide/Pages/carers-rights-care-act-2014.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organisations/disclosure-and-barring-service/abou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qualityhumanrights.com/en/equality-act-2010/what-equality-act" TargetMode="External"/><Relationship Id="rId5" Type="http://schemas.openxmlformats.org/officeDocument/2006/relationships/styles" Target="styles.xml"/><Relationship Id="rId15" Type="http://schemas.openxmlformats.org/officeDocument/2006/relationships/hyperlink" Target="http://www.cqc.org.uk/content/fundamental-standards" TargetMode="External"/><Relationship Id="rId10" Type="http://schemas.openxmlformats.org/officeDocument/2006/relationships/hyperlink" Target="https://www.health-ni.gov.uk/articles/care-standards" TargetMode="External"/><Relationship Id="rId4" Type="http://schemas.openxmlformats.org/officeDocument/2006/relationships/numbering" Target="numbering.xml"/><Relationship Id="rId9" Type="http://schemas.openxmlformats.org/officeDocument/2006/relationships/hyperlink" Target="https://www.gov.uk/data-protection/the-data-protection-act" TargetMode="External"/><Relationship Id="rId14" Type="http://schemas.openxmlformats.org/officeDocument/2006/relationships/hyperlink" Target="https://www.gov.uk/food-safety-your-responsibilities/food-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316D06F7275749AD9719DF2BF2850E" ma:contentTypeVersion="4" ma:contentTypeDescription="Create a new document." ma:contentTypeScope="" ma:versionID="a4ac97b98edeaaf2658fb0e1e9397ef2">
  <xsd:schema xmlns:xsd="http://www.w3.org/2001/XMLSchema" xmlns:xs="http://www.w3.org/2001/XMLSchema" xmlns:p="http://schemas.microsoft.com/office/2006/metadata/properties" xmlns:ns2="0f744f75-baf2-48e7-8b0c-465bcd51f411" targetNamespace="http://schemas.microsoft.com/office/2006/metadata/properties" ma:root="true" ma:fieldsID="4e114987942fdd3c987df5338fe2c71e" ns2:_="">
    <xsd:import namespace="0f744f75-baf2-48e7-8b0c-465bcd51f4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44f75-baf2-48e7-8b0c-465bcd51f4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062EC6-3BF3-4D26-8366-28A61833CC7F}">
  <ds:schemaRefs>
    <ds:schemaRef ds:uri="http://schemas.microsoft.com/sharepoint/v3/contenttype/forms"/>
  </ds:schemaRefs>
</ds:datastoreItem>
</file>

<file path=customXml/itemProps2.xml><?xml version="1.0" encoding="utf-8"?>
<ds:datastoreItem xmlns:ds="http://schemas.openxmlformats.org/officeDocument/2006/customXml" ds:itemID="{1AF5F2D7-008A-4584-978D-A64D3681F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44f75-baf2-48e7-8b0c-465bcd51f4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CA3384-31C7-4AD3-84D5-FB07D9FA97E0}">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0f744f75-baf2-48e7-8b0c-465bcd51f4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FC1EFA2D</Template>
  <TotalTime>0</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Wath Comprehensive School</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kwaddington</dc:creator>
  <cp:keywords/>
  <dc:description/>
  <cp:lastModifiedBy>Gill Pooley</cp:lastModifiedBy>
  <cp:revision>2</cp:revision>
  <dcterms:created xsi:type="dcterms:W3CDTF">2020-03-16T16:22:00Z</dcterms:created>
  <dcterms:modified xsi:type="dcterms:W3CDTF">2020-03-16T16:22:00Z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0x010100B5316D06F7275749AD9719DF2BF2850E</vt:lpwstr>
  </property>
</Properties>
</file>