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EAF4" w14:textId="77777777" w:rsidR="00B160CF" w:rsidRDefault="00B160CF" w:rsidP="00F34FBB">
      <w:pPr>
        <w:rPr>
          <w:b/>
          <w:sz w:val="28"/>
        </w:rPr>
      </w:pPr>
    </w:p>
    <w:p w14:paraId="3BE03C0A" w14:textId="77777777" w:rsidR="00B160CF" w:rsidRDefault="00B160CF" w:rsidP="00F34FBB">
      <w:pPr>
        <w:rPr>
          <w:b/>
          <w:sz w:val="28"/>
        </w:rPr>
      </w:pPr>
    </w:p>
    <w:p w14:paraId="65A9B053" w14:textId="77777777" w:rsidR="00B160CF" w:rsidRDefault="00B160CF" w:rsidP="00F34FBB">
      <w:pPr>
        <w:rPr>
          <w:b/>
          <w:sz w:val="28"/>
        </w:rPr>
      </w:pPr>
    </w:p>
    <w:p w14:paraId="23208C9F" w14:textId="246C313D" w:rsidR="00F34FBB" w:rsidRDefault="00F34FBB" w:rsidP="00F34FBB">
      <w:pPr>
        <w:rPr>
          <w:b/>
          <w:sz w:val="28"/>
        </w:rPr>
      </w:pPr>
      <w:bookmarkStart w:id="0" w:name="_GoBack"/>
      <w:bookmarkEnd w:id="0"/>
      <w:r w:rsidRPr="003F2108">
        <w:rPr>
          <w:b/>
          <w:sz w:val="28"/>
        </w:rPr>
        <w:t>Subject</w:t>
      </w:r>
      <w:r>
        <w:rPr>
          <w:b/>
          <w:sz w:val="28"/>
        </w:rPr>
        <w:t>: Business Studies</w:t>
      </w:r>
    </w:p>
    <w:p w14:paraId="14986637" w14:textId="77777777" w:rsidR="00F34FBB" w:rsidRPr="007F6118" w:rsidRDefault="00F34FBB" w:rsidP="00F34FBB">
      <w:r w:rsidRPr="00F34FBB">
        <w:t>Studying Business will allow students to understand how the commercial world around them works.  It will stimulate creative and entrepreneurial thinking, while developing</w:t>
      </w:r>
      <w:r>
        <w:t xml:space="preserve"> critical skills of analysis and </w:t>
      </w:r>
      <w:r w:rsidRPr="00F34FBB">
        <w:t>evaluation.  Students will explore topical issues from the economy, to globalization and business ethics. The subject allows students to gain insight into the working world, how corporate businesses function and what qualities are required to succeed in an increasingly competitive environment.</w:t>
      </w:r>
    </w:p>
    <w:p w14:paraId="1012A2AE" w14:textId="77777777" w:rsidR="00F34FBB" w:rsidRPr="00F34FBB" w:rsidRDefault="00F34FBB" w:rsidP="007F6118">
      <w:pPr>
        <w:rPr>
          <w:b/>
          <w:sz w:val="24"/>
        </w:rPr>
      </w:pPr>
      <w:r w:rsidRPr="00F34FBB">
        <w:rPr>
          <w:b/>
          <w:sz w:val="24"/>
        </w:rPr>
        <w:t xml:space="preserve">Key Stage </w:t>
      </w:r>
      <w:proofErr w:type="gramStart"/>
      <w:r w:rsidRPr="00F34FBB">
        <w:rPr>
          <w:b/>
          <w:sz w:val="24"/>
        </w:rPr>
        <w:t>Four</w:t>
      </w:r>
      <w:proofErr w:type="gramEnd"/>
      <w:r w:rsidRPr="00F34FBB">
        <w:t xml:space="preserve"> </w:t>
      </w:r>
    </w:p>
    <w:p w14:paraId="0E27B00A" w14:textId="7A10439A" w:rsidR="007F6118" w:rsidRDefault="1F41C29C" w:rsidP="00F34FBB">
      <w:r>
        <w:t>Theme 1: Investigating Small Business - comprised of enterprise, spotting a business opportunity, putting an idea into practice, how to make a business effective and external influences on business Theme 2: Building the Business - comprised of growing a business, marketing, operations, finance and human resources</w:t>
      </w:r>
    </w:p>
    <w:p w14:paraId="4B09958E" w14:textId="77777777" w:rsidR="007F6118" w:rsidRPr="007F6118" w:rsidRDefault="007F6118" w:rsidP="00F34FBB">
      <w:pPr>
        <w:rPr>
          <w:b/>
          <w:sz w:val="24"/>
        </w:rPr>
      </w:pPr>
      <w:r w:rsidRPr="007F6118">
        <w:rPr>
          <w:b/>
          <w:sz w:val="24"/>
        </w:rPr>
        <w:t xml:space="preserve">Key Stage </w:t>
      </w:r>
      <w:proofErr w:type="gramStart"/>
      <w:r w:rsidRPr="007F6118">
        <w:rPr>
          <w:b/>
          <w:sz w:val="24"/>
        </w:rPr>
        <w:t>Five</w:t>
      </w:r>
      <w:proofErr w:type="gramEnd"/>
    </w:p>
    <w:p w14:paraId="1D651FD3" w14:textId="77777777" w:rsidR="00F34FBB" w:rsidRPr="007F6118" w:rsidRDefault="007F6118" w:rsidP="00F34FBB">
      <w:r>
        <w:t>At Key Stage 5, we offer the OCR Cambridge Technical Level 3 Extended Certificate in Business. The course is equivalent to one A</w:t>
      </w:r>
      <w:r w:rsidRPr="007F6118">
        <w:t xml:space="preserve"> </w:t>
      </w:r>
      <w:r>
        <w:t>Level. Students study five units over 2 years to achieve this qualification 2 examined units - Unit 1 The Business Environment (double weighted) and Unit 2 Working in Business 3 coursework units - Unit 4 Customers and Communication, Unit 5 Marketing and Market Research and Unit 17 Responsible Business Practices.</w:t>
      </w:r>
    </w:p>
    <w:p w14:paraId="72055938" w14:textId="77777777" w:rsidR="00B160CF" w:rsidRDefault="00B160CF" w:rsidP="007F6118">
      <w:pPr>
        <w:jc w:val="center"/>
        <w:rPr>
          <w:rFonts w:cstheme="minorHAnsi"/>
          <w:b/>
          <w:sz w:val="28"/>
        </w:rPr>
      </w:pPr>
    </w:p>
    <w:p w14:paraId="7C459D05" w14:textId="77777777" w:rsidR="00B160CF" w:rsidRDefault="00B160CF" w:rsidP="007F6118">
      <w:pPr>
        <w:jc w:val="center"/>
        <w:rPr>
          <w:rFonts w:cstheme="minorHAnsi"/>
          <w:b/>
          <w:sz w:val="28"/>
        </w:rPr>
      </w:pPr>
    </w:p>
    <w:p w14:paraId="13CA3A64" w14:textId="77777777" w:rsidR="00B160CF" w:rsidRDefault="00B160CF" w:rsidP="007F6118">
      <w:pPr>
        <w:jc w:val="center"/>
        <w:rPr>
          <w:rFonts w:cstheme="minorHAnsi"/>
          <w:b/>
          <w:sz w:val="28"/>
        </w:rPr>
      </w:pPr>
    </w:p>
    <w:p w14:paraId="2F7CCE9A" w14:textId="77777777" w:rsidR="00B160CF" w:rsidRDefault="00B160CF" w:rsidP="007F6118">
      <w:pPr>
        <w:jc w:val="center"/>
        <w:rPr>
          <w:rFonts w:cstheme="minorHAnsi"/>
          <w:b/>
          <w:sz w:val="28"/>
        </w:rPr>
      </w:pPr>
    </w:p>
    <w:p w14:paraId="6788D515" w14:textId="77777777" w:rsidR="00B160CF" w:rsidRDefault="00B160CF" w:rsidP="007F6118">
      <w:pPr>
        <w:jc w:val="center"/>
        <w:rPr>
          <w:rFonts w:cstheme="minorHAnsi"/>
          <w:b/>
          <w:sz w:val="28"/>
        </w:rPr>
      </w:pPr>
    </w:p>
    <w:p w14:paraId="0E751F5C" w14:textId="77777777" w:rsidR="00B160CF" w:rsidRDefault="00B160CF" w:rsidP="007F6118">
      <w:pPr>
        <w:jc w:val="center"/>
        <w:rPr>
          <w:rFonts w:cstheme="minorHAnsi"/>
          <w:b/>
          <w:sz w:val="28"/>
        </w:rPr>
      </w:pPr>
    </w:p>
    <w:p w14:paraId="543715ED" w14:textId="77777777" w:rsidR="00B160CF" w:rsidRDefault="00B160CF" w:rsidP="007F6118">
      <w:pPr>
        <w:jc w:val="center"/>
        <w:rPr>
          <w:rFonts w:cstheme="minorHAnsi"/>
          <w:b/>
          <w:sz w:val="28"/>
        </w:rPr>
      </w:pPr>
    </w:p>
    <w:p w14:paraId="1E932BE3" w14:textId="77777777" w:rsidR="00B160CF" w:rsidRDefault="00B160CF" w:rsidP="007F6118">
      <w:pPr>
        <w:jc w:val="center"/>
        <w:rPr>
          <w:rFonts w:cstheme="minorHAnsi"/>
          <w:b/>
          <w:sz w:val="28"/>
        </w:rPr>
      </w:pPr>
    </w:p>
    <w:p w14:paraId="48BB8D89" w14:textId="605100A9" w:rsidR="007B6992" w:rsidRDefault="007F6118" w:rsidP="007F6118">
      <w:pPr>
        <w:jc w:val="center"/>
        <w:rPr>
          <w:rFonts w:cstheme="minorHAnsi"/>
          <w:b/>
          <w:sz w:val="28"/>
        </w:rPr>
      </w:pPr>
      <w:r w:rsidRPr="007F6118">
        <w:rPr>
          <w:rFonts w:cstheme="minorHAnsi"/>
          <w:b/>
          <w:sz w:val="28"/>
        </w:rPr>
        <w:t>Curriculum Breakdown Key Stages 4-5</w:t>
      </w:r>
    </w:p>
    <w:tbl>
      <w:tblPr>
        <w:tblStyle w:val="TableGrid2"/>
        <w:tblpPr w:leftFromText="180" w:rightFromText="180" w:vertAnchor="text" w:horzAnchor="margin" w:tblpY="660"/>
        <w:tblW w:w="14850" w:type="dxa"/>
        <w:tblLook w:val="04A0" w:firstRow="1" w:lastRow="0" w:firstColumn="1" w:lastColumn="0" w:noHBand="0" w:noVBand="1"/>
      </w:tblPr>
      <w:tblGrid>
        <w:gridCol w:w="2243"/>
        <w:gridCol w:w="628"/>
        <w:gridCol w:w="4288"/>
        <w:gridCol w:w="4122"/>
        <w:gridCol w:w="3569"/>
      </w:tblGrid>
      <w:tr w:rsidR="007F6118" w:rsidRPr="007F6118" w14:paraId="45E7DC61" w14:textId="77777777" w:rsidTr="00A27FAC">
        <w:trPr>
          <w:trHeight w:val="342"/>
        </w:trPr>
        <w:tc>
          <w:tcPr>
            <w:tcW w:w="2250" w:type="dxa"/>
          </w:tcPr>
          <w:p w14:paraId="29938AFA" w14:textId="77777777" w:rsidR="007F6118" w:rsidRPr="007F6118" w:rsidRDefault="007F6118" w:rsidP="007F6118">
            <w:r w:rsidRPr="007F6118">
              <w:rPr>
                <w:rFonts w:ascii="Calibri" w:eastAsia="Calibri" w:hAnsi="Calibri" w:cs="Calibri"/>
                <w:b/>
                <w:bCs/>
                <w:color w:val="000000" w:themeColor="text1"/>
                <w:sz w:val="21"/>
                <w:szCs w:val="21"/>
              </w:rPr>
              <w:t xml:space="preserve">Human Sciences Curriculum Plan 2018/19 </w:t>
            </w:r>
          </w:p>
        </w:tc>
        <w:tc>
          <w:tcPr>
            <w:tcW w:w="570" w:type="dxa"/>
          </w:tcPr>
          <w:p w14:paraId="19799CAE" w14:textId="77777777" w:rsidR="007F6118" w:rsidRPr="007F6118" w:rsidRDefault="007F6118" w:rsidP="007F6118">
            <w:pPr>
              <w:rPr>
                <w:b/>
                <w:bCs/>
              </w:rPr>
            </w:pPr>
            <w:r w:rsidRPr="007F6118">
              <w:rPr>
                <w:b/>
                <w:bCs/>
              </w:rPr>
              <w:t xml:space="preserve">Year </w:t>
            </w:r>
          </w:p>
        </w:tc>
        <w:tc>
          <w:tcPr>
            <w:tcW w:w="4305" w:type="dxa"/>
          </w:tcPr>
          <w:p w14:paraId="2D960657" w14:textId="77777777" w:rsidR="007F6118" w:rsidRPr="007F6118" w:rsidRDefault="007F6118" w:rsidP="007F6118">
            <w:pPr>
              <w:rPr>
                <w:b/>
                <w:bCs/>
              </w:rPr>
            </w:pPr>
            <w:r w:rsidRPr="007F6118">
              <w:rPr>
                <w:b/>
                <w:bCs/>
              </w:rPr>
              <w:t xml:space="preserve">Autumn </w:t>
            </w:r>
          </w:p>
        </w:tc>
        <w:tc>
          <w:tcPr>
            <w:tcW w:w="4140" w:type="dxa"/>
          </w:tcPr>
          <w:p w14:paraId="249F7003" w14:textId="77777777" w:rsidR="007F6118" w:rsidRPr="007F6118" w:rsidRDefault="007F6118" w:rsidP="007F6118">
            <w:pPr>
              <w:rPr>
                <w:b/>
                <w:bCs/>
              </w:rPr>
            </w:pPr>
            <w:r w:rsidRPr="007F6118">
              <w:rPr>
                <w:b/>
                <w:bCs/>
              </w:rPr>
              <w:t xml:space="preserve">Spring </w:t>
            </w:r>
          </w:p>
        </w:tc>
        <w:tc>
          <w:tcPr>
            <w:tcW w:w="3585" w:type="dxa"/>
          </w:tcPr>
          <w:p w14:paraId="3892F8D8" w14:textId="77777777" w:rsidR="007F6118" w:rsidRPr="007F6118" w:rsidRDefault="007F6118" w:rsidP="007F6118">
            <w:pPr>
              <w:rPr>
                <w:b/>
                <w:bCs/>
              </w:rPr>
            </w:pPr>
            <w:r w:rsidRPr="007F6118">
              <w:rPr>
                <w:b/>
                <w:bCs/>
              </w:rPr>
              <w:t xml:space="preserve">Summer </w:t>
            </w:r>
          </w:p>
        </w:tc>
      </w:tr>
      <w:tr w:rsidR="007F6118" w:rsidRPr="007F6118" w14:paraId="3D2BE812" w14:textId="77777777" w:rsidTr="00A27FAC">
        <w:trPr>
          <w:trHeight w:val="320"/>
        </w:trPr>
        <w:tc>
          <w:tcPr>
            <w:tcW w:w="2250" w:type="dxa"/>
          </w:tcPr>
          <w:p w14:paraId="03F33211" w14:textId="77777777" w:rsidR="007F6118" w:rsidRPr="007F6118" w:rsidRDefault="007F6118" w:rsidP="007F6118">
            <w:pPr>
              <w:rPr>
                <w:b/>
                <w:bCs/>
              </w:rPr>
            </w:pPr>
            <w:r w:rsidRPr="007F6118">
              <w:rPr>
                <w:b/>
                <w:bCs/>
              </w:rPr>
              <w:t xml:space="preserve">Business </w:t>
            </w:r>
          </w:p>
        </w:tc>
        <w:tc>
          <w:tcPr>
            <w:tcW w:w="570" w:type="dxa"/>
          </w:tcPr>
          <w:p w14:paraId="2B2B7304" w14:textId="77777777" w:rsidR="007F6118" w:rsidRPr="007F6118" w:rsidRDefault="007F6118" w:rsidP="007F6118">
            <w:r w:rsidRPr="007F6118">
              <w:t>9</w:t>
            </w:r>
          </w:p>
        </w:tc>
        <w:tc>
          <w:tcPr>
            <w:tcW w:w="4305" w:type="dxa"/>
          </w:tcPr>
          <w:p w14:paraId="7BD5AC9C" w14:textId="77777777" w:rsidR="007F6118" w:rsidRPr="007F6118" w:rsidRDefault="007F6118" w:rsidP="007F6118">
            <w:r w:rsidRPr="007F6118">
              <w:rPr>
                <w:rFonts w:ascii="Calibri" w:eastAsia="Calibri" w:hAnsi="Calibri" w:cs="Calibri"/>
                <w:color w:val="000000" w:themeColor="text1"/>
                <w:sz w:val="24"/>
                <w:szCs w:val="24"/>
              </w:rPr>
              <w:t>1.1 Enterprise and Entrepreneurship</w:t>
            </w:r>
          </w:p>
          <w:p w14:paraId="7991311E" w14:textId="77777777" w:rsidR="007F6118" w:rsidRPr="007F6118" w:rsidRDefault="007F6118" w:rsidP="007F6118">
            <w:r w:rsidRPr="007F6118">
              <w:rPr>
                <w:rFonts w:ascii="Calibri" w:eastAsia="Calibri" w:hAnsi="Calibri" w:cs="Calibri"/>
                <w:color w:val="000000" w:themeColor="text1"/>
                <w:sz w:val="24"/>
                <w:szCs w:val="24"/>
              </w:rPr>
              <w:t>1.2 Spotting a Business Opportunity</w:t>
            </w:r>
          </w:p>
        </w:tc>
        <w:tc>
          <w:tcPr>
            <w:tcW w:w="4140" w:type="dxa"/>
          </w:tcPr>
          <w:p w14:paraId="52A94935" w14:textId="77777777" w:rsidR="007F6118" w:rsidRPr="007F6118" w:rsidRDefault="007F6118" w:rsidP="007F6118">
            <w:r w:rsidRPr="007F6118">
              <w:rPr>
                <w:rFonts w:ascii="Calibri" w:eastAsia="Calibri" w:hAnsi="Calibri" w:cs="Calibri"/>
                <w:color w:val="000000" w:themeColor="text1"/>
                <w:sz w:val="24"/>
                <w:szCs w:val="24"/>
              </w:rPr>
              <w:t>1.2 Spotting a Business Opportunity</w:t>
            </w:r>
            <w:r w:rsidRPr="007F6118">
              <w:rPr>
                <w:rFonts w:ascii="Times New Roman" w:eastAsia="Times New Roman" w:hAnsi="Times New Roman" w:cs="Times New Roman"/>
              </w:rPr>
              <w:t xml:space="preserve"> </w:t>
            </w:r>
          </w:p>
          <w:p w14:paraId="7B7A126F" w14:textId="77777777" w:rsidR="007F6118" w:rsidRPr="007F6118" w:rsidRDefault="007F6118" w:rsidP="007F6118">
            <w:r w:rsidRPr="007F6118">
              <w:rPr>
                <w:rFonts w:ascii="Calibri" w:eastAsia="Calibri" w:hAnsi="Calibri" w:cs="Calibri"/>
                <w:color w:val="000000" w:themeColor="text1"/>
                <w:sz w:val="24"/>
                <w:szCs w:val="24"/>
              </w:rPr>
              <w:t>1.3 Putting a Business Idea into Practice</w:t>
            </w:r>
          </w:p>
        </w:tc>
        <w:tc>
          <w:tcPr>
            <w:tcW w:w="3585" w:type="dxa"/>
          </w:tcPr>
          <w:p w14:paraId="6E1FC907" w14:textId="77777777" w:rsidR="007F6118" w:rsidRPr="007F6118" w:rsidRDefault="007F6118" w:rsidP="007F6118">
            <w:r w:rsidRPr="007F6118">
              <w:rPr>
                <w:rFonts w:ascii="Calibri" w:eastAsia="Calibri" w:hAnsi="Calibri" w:cs="Calibri"/>
                <w:color w:val="000000" w:themeColor="text1"/>
                <w:sz w:val="24"/>
                <w:szCs w:val="24"/>
              </w:rPr>
              <w:t>1.3 Putting a Business Idea into Practice</w:t>
            </w:r>
          </w:p>
        </w:tc>
      </w:tr>
      <w:tr w:rsidR="007F6118" w:rsidRPr="007F6118" w14:paraId="36D5C62F" w14:textId="77777777" w:rsidTr="00A27FAC">
        <w:trPr>
          <w:trHeight w:val="342"/>
        </w:trPr>
        <w:tc>
          <w:tcPr>
            <w:tcW w:w="2250" w:type="dxa"/>
          </w:tcPr>
          <w:p w14:paraId="62486C05" w14:textId="77777777" w:rsidR="007F6118" w:rsidRPr="007F6118" w:rsidRDefault="007F6118" w:rsidP="007F6118">
            <w:pPr>
              <w:rPr>
                <w:b/>
                <w:bCs/>
              </w:rPr>
            </w:pPr>
          </w:p>
        </w:tc>
        <w:tc>
          <w:tcPr>
            <w:tcW w:w="570" w:type="dxa"/>
          </w:tcPr>
          <w:p w14:paraId="5D369756" w14:textId="77777777" w:rsidR="007F6118" w:rsidRPr="007F6118" w:rsidRDefault="007F6118" w:rsidP="007F6118">
            <w:r w:rsidRPr="007F6118">
              <w:t>10</w:t>
            </w:r>
          </w:p>
        </w:tc>
        <w:tc>
          <w:tcPr>
            <w:tcW w:w="4305" w:type="dxa"/>
          </w:tcPr>
          <w:p w14:paraId="0CE070B8" w14:textId="77777777" w:rsidR="007F6118" w:rsidRPr="007F6118" w:rsidRDefault="007F6118" w:rsidP="007F6118">
            <w:r w:rsidRPr="007F6118">
              <w:rPr>
                <w:rFonts w:ascii="Calibri" w:eastAsia="Calibri" w:hAnsi="Calibri" w:cs="Calibri"/>
                <w:color w:val="000000" w:themeColor="text1"/>
                <w:sz w:val="24"/>
                <w:szCs w:val="24"/>
              </w:rPr>
              <w:t xml:space="preserve">1.4 Making the Business Effective </w:t>
            </w:r>
          </w:p>
        </w:tc>
        <w:tc>
          <w:tcPr>
            <w:tcW w:w="4140" w:type="dxa"/>
          </w:tcPr>
          <w:p w14:paraId="42C04E00" w14:textId="77777777" w:rsidR="007F6118" w:rsidRPr="007F6118" w:rsidRDefault="007F6118" w:rsidP="007F6118">
            <w:r w:rsidRPr="007F6118">
              <w:rPr>
                <w:rFonts w:ascii="Calibri" w:eastAsia="Calibri" w:hAnsi="Calibri" w:cs="Calibri"/>
                <w:color w:val="000000" w:themeColor="text1"/>
                <w:sz w:val="24"/>
                <w:szCs w:val="24"/>
              </w:rPr>
              <w:t>1.5 Understanding External Influences</w:t>
            </w:r>
          </w:p>
        </w:tc>
        <w:tc>
          <w:tcPr>
            <w:tcW w:w="3585" w:type="dxa"/>
          </w:tcPr>
          <w:p w14:paraId="5124C229" w14:textId="77777777" w:rsidR="007F6118" w:rsidRPr="007F6118" w:rsidRDefault="007F6118" w:rsidP="007F6118">
            <w:r w:rsidRPr="007F6118">
              <w:rPr>
                <w:rFonts w:ascii="Calibri" w:eastAsia="Calibri" w:hAnsi="Calibri" w:cs="Calibri"/>
                <w:color w:val="000000" w:themeColor="text1"/>
                <w:sz w:val="24"/>
                <w:szCs w:val="24"/>
              </w:rPr>
              <w:t xml:space="preserve">Revision and end of Year exam (Whole Theme 1 paper)  </w:t>
            </w:r>
          </w:p>
          <w:p w14:paraId="233DCF73" w14:textId="77777777" w:rsidR="007F6118" w:rsidRPr="007F6118" w:rsidRDefault="007F6118" w:rsidP="007F6118">
            <w:r w:rsidRPr="007F6118">
              <w:rPr>
                <w:rFonts w:ascii="Calibri" w:eastAsia="Calibri" w:hAnsi="Calibri" w:cs="Calibri"/>
                <w:color w:val="000000" w:themeColor="text1"/>
                <w:sz w:val="24"/>
                <w:szCs w:val="24"/>
              </w:rPr>
              <w:t>Growing the business</w:t>
            </w:r>
          </w:p>
        </w:tc>
      </w:tr>
      <w:tr w:rsidR="007F6118" w:rsidRPr="007F6118" w14:paraId="4E591316" w14:textId="77777777" w:rsidTr="00A27FAC">
        <w:trPr>
          <w:trHeight w:val="342"/>
        </w:trPr>
        <w:tc>
          <w:tcPr>
            <w:tcW w:w="2250" w:type="dxa"/>
          </w:tcPr>
          <w:p w14:paraId="4101652C" w14:textId="77777777" w:rsidR="007F6118" w:rsidRPr="007F6118" w:rsidRDefault="007F6118" w:rsidP="007F6118">
            <w:pPr>
              <w:rPr>
                <w:b/>
                <w:bCs/>
              </w:rPr>
            </w:pPr>
          </w:p>
        </w:tc>
        <w:tc>
          <w:tcPr>
            <w:tcW w:w="570" w:type="dxa"/>
          </w:tcPr>
          <w:p w14:paraId="4737E36C" w14:textId="77777777" w:rsidR="007F6118" w:rsidRPr="007F6118" w:rsidRDefault="007F6118" w:rsidP="007F6118">
            <w:r w:rsidRPr="007F6118">
              <w:t>11</w:t>
            </w:r>
          </w:p>
        </w:tc>
        <w:tc>
          <w:tcPr>
            <w:tcW w:w="4305" w:type="dxa"/>
          </w:tcPr>
          <w:p w14:paraId="56D1854A" w14:textId="77777777" w:rsidR="007F6118" w:rsidRPr="007F6118" w:rsidRDefault="007F6118" w:rsidP="007F6118">
            <w:r w:rsidRPr="007F6118">
              <w:rPr>
                <w:rFonts w:ascii="Calibri" w:eastAsia="Calibri" w:hAnsi="Calibri" w:cs="Calibri"/>
                <w:color w:val="000000" w:themeColor="text1"/>
                <w:sz w:val="24"/>
                <w:szCs w:val="24"/>
              </w:rPr>
              <w:t>2.1 Growing the Business</w:t>
            </w:r>
          </w:p>
          <w:p w14:paraId="5744F7BE" w14:textId="77777777" w:rsidR="007F6118" w:rsidRPr="007F6118" w:rsidRDefault="007F6118" w:rsidP="007F6118">
            <w:r w:rsidRPr="007F6118">
              <w:rPr>
                <w:rFonts w:ascii="Calibri" w:eastAsia="Calibri" w:hAnsi="Calibri" w:cs="Calibri"/>
                <w:color w:val="000000" w:themeColor="text1"/>
                <w:sz w:val="24"/>
                <w:szCs w:val="24"/>
              </w:rPr>
              <w:t>2.2 Making Marketing Decisions</w:t>
            </w:r>
          </w:p>
        </w:tc>
        <w:tc>
          <w:tcPr>
            <w:tcW w:w="4140" w:type="dxa"/>
          </w:tcPr>
          <w:p w14:paraId="5C22CD58" w14:textId="77777777" w:rsidR="007F6118" w:rsidRPr="007F6118" w:rsidRDefault="007F6118" w:rsidP="007F6118">
            <w:r w:rsidRPr="007F6118">
              <w:rPr>
                <w:rFonts w:ascii="Calibri" w:eastAsia="Calibri" w:hAnsi="Calibri" w:cs="Calibri"/>
                <w:color w:val="000000" w:themeColor="text1"/>
                <w:sz w:val="24"/>
                <w:szCs w:val="24"/>
              </w:rPr>
              <w:t>2.3 Making Operational Decisions</w:t>
            </w:r>
          </w:p>
          <w:p w14:paraId="6C060DAE" w14:textId="77777777" w:rsidR="007F6118" w:rsidRPr="007F6118" w:rsidRDefault="007F6118" w:rsidP="007F6118">
            <w:r w:rsidRPr="007F6118">
              <w:rPr>
                <w:rFonts w:ascii="Calibri" w:eastAsia="Calibri" w:hAnsi="Calibri" w:cs="Calibri"/>
                <w:color w:val="000000" w:themeColor="text1"/>
                <w:sz w:val="24"/>
                <w:szCs w:val="24"/>
              </w:rPr>
              <w:t>2.4 Making Financial Decisions</w:t>
            </w:r>
          </w:p>
        </w:tc>
        <w:tc>
          <w:tcPr>
            <w:tcW w:w="3585" w:type="dxa"/>
          </w:tcPr>
          <w:p w14:paraId="40C8B388" w14:textId="77777777" w:rsidR="007F6118" w:rsidRPr="007F6118" w:rsidRDefault="007F6118" w:rsidP="007F6118">
            <w:r w:rsidRPr="007F6118">
              <w:rPr>
                <w:rFonts w:ascii="Calibri" w:eastAsia="Calibri" w:hAnsi="Calibri" w:cs="Calibri"/>
                <w:color w:val="000000" w:themeColor="text1"/>
                <w:sz w:val="24"/>
                <w:szCs w:val="24"/>
              </w:rPr>
              <w:t>2.5 Making Human Resource Decisions and revision</w:t>
            </w:r>
          </w:p>
        </w:tc>
      </w:tr>
      <w:tr w:rsidR="007F6118" w:rsidRPr="007F6118" w14:paraId="791707FB" w14:textId="77777777" w:rsidTr="00A27FAC">
        <w:trPr>
          <w:trHeight w:val="320"/>
        </w:trPr>
        <w:tc>
          <w:tcPr>
            <w:tcW w:w="2250" w:type="dxa"/>
          </w:tcPr>
          <w:p w14:paraId="4B99056E" w14:textId="77777777" w:rsidR="007F6118" w:rsidRPr="007F6118" w:rsidRDefault="007F6118" w:rsidP="007F6118">
            <w:pPr>
              <w:rPr>
                <w:b/>
                <w:bCs/>
              </w:rPr>
            </w:pPr>
          </w:p>
        </w:tc>
        <w:tc>
          <w:tcPr>
            <w:tcW w:w="570" w:type="dxa"/>
          </w:tcPr>
          <w:p w14:paraId="4B73E586" w14:textId="77777777" w:rsidR="007F6118" w:rsidRPr="007F6118" w:rsidRDefault="007F6118" w:rsidP="007F6118">
            <w:pPr>
              <w:rPr>
                <w:color w:val="000000" w:themeColor="text1"/>
              </w:rPr>
            </w:pPr>
            <w:r w:rsidRPr="007F6118">
              <w:rPr>
                <w:color w:val="000000" w:themeColor="text1"/>
              </w:rPr>
              <w:t>12</w:t>
            </w:r>
          </w:p>
        </w:tc>
        <w:tc>
          <w:tcPr>
            <w:tcW w:w="4305" w:type="dxa"/>
          </w:tcPr>
          <w:p w14:paraId="184B40F6" w14:textId="77777777" w:rsidR="007F6118" w:rsidRPr="007F6118" w:rsidRDefault="007F6118" w:rsidP="007F6118">
            <w:pPr>
              <w:rPr>
                <w:color w:val="000000" w:themeColor="text1"/>
              </w:rPr>
            </w:pPr>
            <w:r w:rsidRPr="007F6118">
              <w:rPr>
                <w:color w:val="000000" w:themeColor="text1"/>
              </w:rPr>
              <w:t xml:space="preserve">Unit 1 – The Business Environment (double weighted examined unit)   </w:t>
            </w:r>
          </w:p>
          <w:p w14:paraId="439C2F64" w14:textId="77777777" w:rsidR="007F6118" w:rsidRPr="007F6118" w:rsidRDefault="007F6118" w:rsidP="007F6118">
            <w:pPr>
              <w:rPr>
                <w:color w:val="000000" w:themeColor="text1"/>
              </w:rPr>
            </w:pPr>
            <w:r w:rsidRPr="007F6118">
              <w:rPr>
                <w:color w:val="000000" w:themeColor="text1"/>
              </w:rPr>
              <w:t xml:space="preserve">Unit 4 – Customers and Communication (coursework) </w:t>
            </w:r>
          </w:p>
        </w:tc>
        <w:tc>
          <w:tcPr>
            <w:tcW w:w="4140" w:type="dxa"/>
          </w:tcPr>
          <w:p w14:paraId="6DB94D89" w14:textId="77777777" w:rsidR="007F6118" w:rsidRPr="007F6118" w:rsidRDefault="007F6118" w:rsidP="007F6118">
            <w:pPr>
              <w:rPr>
                <w:color w:val="000000" w:themeColor="text1"/>
              </w:rPr>
            </w:pPr>
            <w:r w:rsidRPr="007F6118">
              <w:rPr>
                <w:color w:val="000000" w:themeColor="text1"/>
              </w:rPr>
              <w:t xml:space="preserve">Unit 1 – The Business Environment (double weighted examined unit)   </w:t>
            </w:r>
          </w:p>
          <w:p w14:paraId="5C659D66" w14:textId="77777777" w:rsidR="007F6118" w:rsidRPr="007F6118" w:rsidRDefault="007F6118" w:rsidP="007F6118">
            <w:pPr>
              <w:rPr>
                <w:color w:val="000000" w:themeColor="text1"/>
              </w:rPr>
            </w:pPr>
            <w:r w:rsidRPr="007F6118">
              <w:rPr>
                <w:color w:val="000000" w:themeColor="text1"/>
              </w:rPr>
              <w:t xml:space="preserve">Unit 4 – Customers and Communication (coursework) </w:t>
            </w:r>
          </w:p>
        </w:tc>
        <w:tc>
          <w:tcPr>
            <w:tcW w:w="3585" w:type="dxa"/>
          </w:tcPr>
          <w:p w14:paraId="4EA2949D" w14:textId="77777777" w:rsidR="007F6118" w:rsidRPr="007F6118" w:rsidRDefault="007F6118" w:rsidP="007F6118">
            <w:pPr>
              <w:rPr>
                <w:color w:val="000000" w:themeColor="text1"/>
              </w:rPr>
            </w:pPr>
            <w:r w:rsidRPr="007F6118">
              <w:rPr>
                <w:color w:val="000000" w:themeColor="text1"/>
              </w:rPr>
              <w:t>Introduction to Unit 2 – Working in Business</w:t>
            </w:r>
          </w:p>
          <w:p w14:paraId="55BBD8B3" w14:textId="77777777" w:rsidR="007F6118" w:rsidRPr="007F6118" w:rsidRDefault="007F6118" w:rsidP="007F6118">
            <w:pPr>
              <w:rPr>
                <w:color w:val="000000" w:themeColor="text1"/>
              </w:rPr>
            </w:pPr>
            <w:r w:rsidRPr="007F6118">
              <w:rPr>
                <w:color w:val="000000" w:themeColor="text1"/>
              </w:rPr>
              <w:t>Introduction to Unit 5 – Marketing and Market Research</w:t>
            </w:r>
          </w:p>
        </w:tc>
      </w:tr>
      <w:tr w:rsidR="007F6118" w:rsidRPr="007F6118" w14:paraId="5138DC2D" w14:textId="77777777" w:rsidTr="00A27FAC">
        <w:trPr>
          <w:trHeight w:val="342"/>
        </w:trPr>
        <w:tc>
          <w:tcPr>
            <w:tcW w:w="2250" w:type="dxa"/>
          </w:tcPr>
          <w:p w14:paraId="1299C43A" w14:textId="77777777" w:rsidR="007F6118" w:rsidRPr="007F6118" w:rsidRDefault="007F6118" w:rsidP="007F6118">
            <w:pPr>
              <w:rPr>
                <w:b/>
                <w:bCs/>
              </w:rPr>
            </w:pPr>
          </w:p>
        </w:tc>
        <w:tc>
          <w:tcPr>
            <w:tcW w:w="570" w:type="dxa"/>
          </w:tcPr>
          <w:p w14:paraId="39F18D26" w14:textId="77777777" w:rsidR="007F6118" w:rsidRPr="007F6118" w:rsidRDefault="007F6118" w:rsidP="007F6118">
            <w:pPr>
              <w:rPr>
                <w:color w:val="000000" w:themeColor="text1"/>
              </w:rPr>
            </w:pPr>
            <w:r w:rsidRPr="007F6118">
              <w:rPr>
                <w:color w:val="000000" w:themeColor="text1"/>
              </w:rPr>
              <w:t>13</w:t>
            </w:r>
          </w:p>
        </w:tc>
        <w:tc>
          <w:tcPr>
            <w:tcW w:w="4305" w:type="dxa"/>
          </w:tcPr>
          <w:p w14:paraId="7C3E6BCE" w14:textId="77777777" w:rsidR="007F6118" w:rsidRPr="007F6118" w:rsidRDefault="007F6118" w:rsidP="007F6118">
            <w:pPr>
              <w:rPr>
                <w:color w:val="000000" w:themeColor="text1"/>
              </w:rPr>
            </w:pPr>
            <w:r w:rsidRPr="007F6118">
              <w:rPr>
                <w:color w:val="000000" w:themeColor="text1"/>
              </w:rPr>
              <w:t>Unit 2 – Working in Business (examined unit)</w:t>
            </w:r>
          </w:p>
          <w:p w14:paraId="53396033" w14:textId="77777777" w:rsidR="007F6118" w:rsidRPr="007F6118" w:rsidRDefault="007F6118" w:rsidP="007F6118">
            <w:pPr>
              <w:rPr>
                <w:color w:val="000000" w:themeColor="text1"/>
              </w:rPr>
            </w:pPr>
            <w:r w:rsidRPr="007F6118">
              <w:rPr>
                <w:color w:val="000000" w:themeColor="text1"/>
              </w:rPr>
              <w:t>Unit 5 – Marketing and Market Research (Coursework Unit)</w:t>
            </w:r>
          </w:p>
        </w:tc>
        <w:tc>
          <w:tcPr>
            <w:tcW w:w="4140" w:type="dxa"/>
          </w:tcPr>
          <w:p w14:paraId="6AF67303" w14:textId="77777777" w:rsidR="007F6118" w:rsidRPr="007F6118" w:rsidRDefault="007F6118" w:rsidP="007F6118">
            <w:pPr>
              <w:rPr>
                <w:color w:val="000000" w:themeColor="text1"/>
              </w:rPr>
            </w:pPr>
            <w:r w:rsidRPr="007F6118">
              <w:rPr>
                <w:color w:val="000000" w:themeColor="text1"/>
              </w:rPr>
              <w:t xml:space="preserve">Unit 5 - Marketing and Market Research </w:t>
            </w:r>
          </w:p>
          <w:p w14:paraId="7C9BAC7C" w14:textId="77777777" w:rsidR="007F6118" w:rsidRPr="007F6118" w:rsidRDefault="007F6118" w:rsidP="007F6118">
            <w:pPr>
              <w:rPr>
                <w:color w:val="000000" w:themeColor="text1"/>
              </w:rPr>
            </w:pPr>
            <w:r w:rsidRPr="007F6118">
              <w:rPr>
                <w:color w:val="000000" w:themeColor="text1"/>
              </w:rPr>
              <w:t>Unit 17 – Responsible Business Practices (Coursework unit)</w:t>
            </w:r>
          </w:p>
        </w:tc>
        <w:tc>
          <w:tcPr>
            <w:tcW w:w="3585" w:type="dxa"/>
          </w:tcPr>
          <w:p w14:paraId="4AFDFD35" w14:textId="77777777" w:rsidR="007F6118" w:rsidRPr="007F6118" w:rsidRDefault="007F6118" w:rsidP="007F6118">
            <w:pPr>
              <w:rPr>
                <w:color w:val="000000" w:themeColor="text1"/>
              </w:rPr>
            </w:pPr>
            <w:r w:rsidRPr="007F6118">
              <w:rPr>
                <w:color w:val="000000" w:themeColor="text1"/>
              </w:rPr>
              <w:t xml:space="preserve">Unit 17- Responsible Business Practices </w:t>
            </w:r>
          </w:p>
          <w:p w14:paraId="48ED246C" w14:textId="77777777" w:rsidR="007F6118" w:rsidRPr="007F6118" w:rsidRDefault="007F6118" w:rsidP="007F6118">
            <w:pPr>
              <w:rPr>
                <w:color w:val="000000" w:themeColor="text1"/>
              </w:rPr>
            </w:pPr>
            <w:r w:rsidRPr="007F6118">
              <w:rPr>
                <w:color w:val="000000" w:themeColor="text1"/>
              </w:rPr>
              <w:t>Unit 2 Re-sit</w:t>
            </w:r>
          </w:p>
        </w:tc>
      </w:tr>
    </w:tbl>
    <w:p w14:paraId="6DFB9E20" w14:textId="77777777" w:rsidR="007F6118" w:rsidRPr="007F6118" w:rsidRDefault="007F6118" w:rsidP="007F6118">
      <w:pPr>
        <w:jc w:val="center"/>
        <w:rPr>
          <w:rFonts w:cstheme="minorHAnsi"/>
          <w:b/>
          <w:sz w:val="28"/>
        </w:rPr>
      </w:pPr>
    </w:p>
    <w:sectPr w:rsidR="007F6118" w:rsidRPr="007F6118" w:rsidSect="007B6992">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A27FAC" w:rsidRDefault="00A27FAC" w:rsidP="007B6992">
      <w:pPr>
        <w:spacing w:after="0" w:line="240" w:lineRule="auto"/>
      </w:pPr>
      <w:r>
        <w:separator/>
      </w:r>
    </w:p>
  </w:endnote>
  <w:endnote w:type="continuationSeparator" w:id="0">
    <w:p w14:paraId="144A5D23" w14:textId="77777777" w:rsidR="00A27FAC" w:rsidRDefault="00A27FAC" w:rsidP="007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A27FAC" w:rsidRDefault="00A27FAC" w:rsidP="007B6992">
      <w:pPr>
        <w:spacing w:after="0" w:line="240" w:lineRule="auto"/>
      </w:pPr>
      <w:r>
        <w:separator/>
      </w:r>
    </w:p>
  </w:footnote>
  <w:footnote w:type="continuationSeparator" w:id="0">
    <w:p w14:paraId="637805D2" w14:textId="77777777" w:rsidR="00A27FAC" w:rsidRDefault="00A27FAC" w:rsidP="007B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F521" w14:textId="77777777" w:rsidR="00A27FAC" w:rsidRPr="007B6992" w:rsidRDefault="00A27FAC" w:rsidP="007B6992">
    <w:pPr>
      <w:pStyle w:val="Header"/>
      <w:jc w:val="center"/>
      <w:rPr>
        <w:b/>
        <w:sz w:val="28"/>
      </w:rPr>
    </w:pPr>
    <w:r>
      <w:rPr>
        <w:b/>
        <w:noProof/>
        <w:sz w:val="28"/>
        <w:lang w:eastAsia="en-GB"/>
      </w:rPr>
      <w:drawing>
        <wp:anchor distT="0" distB="0" distL="114300" distR="114300" simplePos="0" relativeHeight="251659264" behindDoc="0" locked="0" layoutInCell="1" allowOverlap="1" wp14:anchorId="4F017B9F" wp14:editId="07777777">
          <wp:simplePos x="0" y="0"/>
          <wp:positionH relativeFrom="margin">
            <wp:align>right</wp:align>
          </wp:positionH>
          <wp:positionV relativeFrom="paragraph">
            <wp:posOffset>-285750</wp:posOffset>
          </wp:positionV>
          <wp:extent cx="14668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L new.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52450"/>
                  </a:xfrm>
                  <a:prstGeom prst="rect">
                    <a:avLst/>
                  </a:prstGeom>
                </pic:spPr>
              </pic:pic>
            </a:graphicData>
          </a:graphic>
        </wp:anchor>
      </w:drawing>
    </w:r>
    <w:r>
      <w:rPr>
        <w:b/>
        <w:noProof/>
        <w:sz w:val="28"/>
        <w:lang w:eastAsia="en-GB"/>
      </w:rPr>
      <w:drawing>
        <wp:anchor distT="0" distB="0" distL="114300" distR="114300" simplePos="0" relativeHeight="251658240" behindDoc="0" locked="0" layoutInCell="1" allowOverlap="1" wp14:anchorId="02D94D31" wp14:editId="07777777">
          <wp:simplePos x="0" y="0"/>
          <wp:positionH relativeFrom="column">
            <wp:posOffset>-600075</wp:posOffset>
          </wp:positionH>
          <wp:positionV relativeFrom="paragraph">
            <wp:posOffset>-363856</wp:posOffset>
          </wp:positionV>
          <wp:extent cx="809648" cy="7715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579" cy="773365"/>
                  </a:xfrm>
                  <a:prstGeom prst="rect">
                    <a:avLst/>
                  </a:prstGeom>
                </pic:spPr>
              </pic:pic>
            </a:graphicData>
          </a:graphic>
          <wp14:sizeRelH relativeFrom="margin">
            <wp14:pctWidth>0</wp14:pctWidth>
          </wp14:sizeRelH>
          <wp14:sizeRelV relativeFrom="margin">
            <wp14:pctHeight>0</wp14:pctHeight>
          </wp14:sizeRelV>
        </wp:anchor>
      </w:drawing>
    </w:r>
    <w:r w:rsidRPr="007B6992">
      <w:rPr>
        <w:b/>
        <w:sz w:val="28"/>
      </w:rPr>
      <w:t>Curriculum Information</w:t>
    </w:r>
  </w:p>
  <w:p w14:paraId="70DF9E56" w14:textId="77777777" w:rsidR="00A27FAC" w:rsidRDefault="00A2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23"/>
    <w:multiLevelType w:val="hybridMultilevel"/>
    <w:tmpl w:val="9D7C20B4"/>
    <w:lvl w:ilvl="0" w:tplc="1E32CF2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526F"/>
    <w:multiLevelType w:val="hybridMultilevel"/>
    <w:tmpl w:val="35FEB8DE"/>
    <w:lvl w:ilvl="0" w:tplc="8AC8AAAA">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785"/>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87A"/>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3667"/>
    <w:multiLevelType w:val="hybridMultilevel"/>
    <w:tmpl w:val="94DE80D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7CA3"/>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4BB1"/>
    <w:multiLevelType w:val="hybridMultilevel"/>
    <w:tmpl w:val="0F9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4FD4"/>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47AC"/>
    <w:multiLevelType w:val="hybridMultilevel"/>
    <w:tmpl w:val="236A0440"/>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E64"/>
    <w:multiLevelType w:val="hybridMultilevel"/>
    <w:tmpl w:val="4D66BF30"/>
    <w:lvl w:ilvl="0" w:tplc="2CB81D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D514E"/>
    <w:multiLevelType w:val="hybridMultilevel"/>
    <w:tmpl w:val="E4B0CC5A"/>
    <w:lvl w:ilvl="0" w:tplc="2CE24F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C1C58"/>
    <w:multiLevelType w:val="hybridMultilevel"/>
    <w:tmpl w:val="302EA928"/>
    <w:lvl w:ilvl="0" w:tplc="FC96B8F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40910"/>
    <w:multiLevelType w:val="hybridMultilevel"/>
    <w:tmpl w:val="B1B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65F63"/>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AC"/>
    <w:multiLevelType w:val="hybridMultilevel"/>
    <w:tmpl w:val="F4AAA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D572C"/>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076D1"/>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122A4"/>
    <w:multiLevelType w:val="hybridMultilevel"/>
    <w:tmpl w:val="07DC037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65D1B"/>
    <w:multiLevelType w:val="hybridMultilevel"/>
    <w:tmpl w:val="8872E1FE"/>
    <w:lvl w:ilvl="0" w:tplc="08090019">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37B3C"/>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80696"/>
    <w:multiLevelType w:val="hybridMultilevel"/>
    <w:tmpl w:val="D646C0AA"/>
    <w:lvl w:ilvl="0" w:tplc="CFCE929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F57E8"/>
    <w:multiLevelType w:val="hybridMultilevel"/>
    <w:tmpl w:val="B8DC400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19"/>
  </w:num>
  <w:num w:numId="5">
    <w:abstractNumId w:val="8"/>
  </w:num>
  <w:num w:numId="6">
    <w:abstractNumId w:val="17"/>
  </w:num>
  <w:num w:numId="7">
    <w:abstractNumId w:val="4"/>
  </w:num>
  <w:num w:numId="8">
    <w:abstractNumId w:val="21"/>
  </w:num>
  <w:num w:numId="9">
    <w:abstractNumId w:val="13"/>
  </w:num>
  <w:num w:numId="10">
    <w:abstractNumId w:val="0"/>
  </w:num>
  <w:num w:numId="11">
    <w:abstractNumId w:val="11"/>
  </w:num>
  <w:num w:numId="12">
    <w:abstractNumId w:val="9"/>
  </w:num>
  <w:num w:numId="13">
    <w:abstractNumId w:val="10"/>
  </w:num>
  <w:num w:numId="14">
    <w:abstractNumId w:val="14"/>
  </w:num>
  <w:num w:numId="15">
    <w:abstractNumId w:val="20"/>
  </w:num>
  <w:num w:numId="16">
    <w:abstractNumId w:val="16"/>
  </w:num>
  <w:num w:numId="17">
    <w:abstractNumId w:val="7"/>
  </w:num>
  <w:num w:numId="18">
    <w:abstractNumId w:val="3"/>
  </w:num>
  <w:num w:numId="19">
    <w:abstractNumId w:val="15"/>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8"/>
    <w:rsid w:val="00211D98"/>
    <w:rsid w:val="00345CB7"/>
    <w:rsid w:val="003C2AED"/>
    <w:rsid w:val="003F2108"/>
    <w:rsid w:val="007175FD"/>
    <w:rsid w:val="007B6992"/>
    <w:rsid w:val="007F6118"/>
    <w:rsid w:val="00A27FAC"/>
    <w:rsid w:val="00A66074"/>
    <w:rsid w:val="00B160CF"/>
    <w:rsid w:val="00E027CD"/>
    <w:rsid w:val="00F34FBB"/>
    <w:rsid w:val="00F51D19"/>
    <w:rsid w:val="1F41C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69D9C"/>
  <w15:chartTrackingRefBased/>
  <w15:docId w15:val="{503376B8-4FAE-4298-9FD5-80C8315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0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F2108"/>
    <w:rPr>
      <w:color w:val="0563C1" w:themeColor="hyperlink"/>
      <w:u w:val="single"/>
    </w:rPr>
  </w:style>
  <w:style w:type="paragraph" w:styleId="NormalWeb">
    <w:name w:val="Normal (Web)"/>
    <w:basedOn w:val="Normal"/>
    <w:uiPriority w:val="99"/>
    <w:unhideWhenUsed/>
    <w:rsid w:val="003F21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F21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2108"/>
    <w:rPr>
      <w:sz w:val="16"/>
      <w:szCs w:val="16"/>
    </w:rPr>
  </w:style>
  <w:style w:type="paragraph" w:styleId="CommentText">
    <w:name w:val="annotation text"/>
    <w:basedOn w:val="Normal"/>
    <w:link w:val="CommentTextChar"/>
    <w:semiHidden/>
    <w:unhideWhenUsed/>
    <w:rsid w:val="003F2108"/>
    <w:pPr>
      <w:spacing w:after="0" w:line="240" w:lineRule="auto"/>
    </w:pPr>
    <w:rPr>
      <w:sz w:val="20"/>
      <w:szCs w:val="20"/>
    </w:rPr>
  </w:style>
  <w:style w:type="character" w:customStyle="1" w:styleId="CommentTextChar">
    <w:name w:val="Comment Text Char"/>
    <w:basedOn w:val="DefaultParagraphFont"/>
    <w:link w:val="CommentText"/>
    <w:semiHidden/>
    <w:rsid w:val="003F2108"/>
    <w:rPr>
      <w:sz w:val="20"/>
      <w:szCs w:val="20"/>
    </w:rPr>
  </w:style>
  <w:style w:type="paragraph" w:styleId="BalloonText">
    <w:name w:val="Balloon Text"/>
    <w:basedOn w:val="Normal"/>
    <w:link w:val="BalloonTextChar"/>
    <w:uiPriority w:val="99"/>
    <w:semiHidden/>
    <w:unhideWhenUsed/>
    <w:rsid w:val="003F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08"/>
    <w:rPr>
      <w:rFonts w:ascii="Segoe UI" w:hAnsi="Segoe UI" w:cs="Segoe UI"/>
      <w:sz w:val="18"/>
      <w:szCs w:val="18"/>
    </w:rPr>
  </w:style>
  <w:style w:type="paragraph" w:styleId="Header">
    <w:name w:val="header"/>
    <w:basedOn w:val="Normal"/>
    <w:link w:val="HeaderChar"/>
    <w:uiPriority w:val="99"/>
    <w:unhideWhenUsed/>
    <w:rsid w:val="007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92"/>
  </w:style>
  <w:style w:type="paragraph" w:styleId="Footer">
    <w:name w:val="footer"/>
    <w:basedOn w:val="Normal"/>
    <w:link w:val="FooterChar"/>
    <w:uiPriority w:val="99"/>
    <w:unhideWhenUsed/>
    <w:rsid w:val="007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92"/>
  </w:style>
  <w:style w:type="table" w:customStyle="1" w:styleId="TableGrid1">
    <w:name w:val="Table Grid1"/>
    <w:basedOn w:val="TableNormal"/>
    <w:next w:val="TableGrid"/>
    <w:uiPriority w:val="39"/>
    <w:rsid w:val="00F34F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61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EC01B083</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Pooley</dc:creator>
  <cp:keywords/>
  <dc:description/>
  <cp:lastModifiedBy>Gill Pooley</cp:lastModifiedBy>
  <cp:revision>2</cp:revision>
  <dcterms:created xsi:type="dcterms:W3CDTF">2019-07-10T14:11:00Z</dcterms:created>
  <dcterms:modified xsi:type="dcterms:W3CDTF">2019-07-10T14:11:00Z</dcterms:modified>
</cp:coreProperties>
</file>